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10B" w14:textId="12C0EF10" w:rsidR="006F6902" w:rsidRDefault="00964D05">
      <w:r>
        <w:rPr>
          <w:noProof/>
        </w:rPr>
        <w:drawing>
          <wp:inline distT="0" distB="0" distL="0" distR="0" wp14:anchorId="0E9FFF40" wp14:editId="17704093">
            <wp:extent cx="5550195" cy="6193148"/>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7"/>
                    <a:stretch>
                      <a:fillRect/>
                    </a:stretch>
                  </pic:blipFill>
                  <pic:spPr>
                    <a:xfrm>
                      <a:off x="0" y="0"/>
                      <a:ext cx="5560840" cy="6205026"/>
                    </a:xfrm>
                    <a:prstGeom prst="rect">
                      <a:avLst/>
                    </a:prstGeom>
                  </pic:spPr>
                </pic:pic>
              </a:graphicData>
            </a:graphic>
          </wp:inline>
        </w:drawing>
      </w:r>
    </w:p>
    <w:p w14:paraId="22228264" w14:textId="20F0FB6A" w:rsidR="006F6902" w:rsidRDefault="006F6902"/>
    <w:p w14:paraId="57E9D71D" w14:textId="40EE69EC" w:rsidR="006F6902" w:rsidRDefault="006F6902"/>
    <w:p w14:paraId="1C33A480" w14:textId="77777777" w:rsidR="006F6902" w:rsidRDefault="006F6902" w:rsidP="006F6902"/>
    <w:p w14:paraId="043A9320" w14:textId="77777777" w:rsidR="006F6902" w:rsidRDefault="006F6902" w:rsidP="006F6902">
      <w:pPr>
        <w:pStyle w:val="Default"/>
        <w:rPr>
          <w:b/>
          <w:bCs/>
          <w:sz w:val="22"/>
          <w:szCs w:val="22"/>
        </w:rPr>
      </w:pPr>
      <w:r w:rsidRPr="006F6902">
        <w:rPr>
          <w:b/>
          <w:bCs/>
          <w:color w:val="0070C0"/>
          <w:sz w:val="22"/>
          <w:szCs w:val="22"/>
        </w:rPr>
        <w:t>Objective</w:t>
      </w:r>
      <w:r>
        <w:rPr>
          <w:b/>
          <w:bCs/>
          <w:sz w:val="22"/>
          <w:szCs w:val="22"/>
        </w:rPr>
        <w:t xml:space="preserve"> </w:t>
      </w:r>
    </w:p>
    <w:p w14:paraId="562AF72F" w14:textId="77777777" w:rsidR="006F6902" w:rsidRDefault="006F6902" w:rsidP="006F6902">
      <w:r>
        <w:t>HMA was engaged by Berkshire Fallon Health Collaborative (BFHC) to Support evaluation of post admission transition of care (TOC) processes in the ambulatory setting to improve TOC completion and communication to PCPs post discharge. HMA was also asked to support evaluation of post ED TOC processes for Medicaid patients in the ambulatory setting to improve TOC completion and communication to PCPs post discharge.</w:t>
      </w:r>
    </w:p>
    <w:p w14:paraId="4959A7A1" w14:textId="77777777" w:rsidR="006F6902" w:rsidRDefault="006F6902" w:rsidP="006F6902"/>
    <w:p w14:paraId="0F80B85D" w14:textId="77777777" w:rsidR="006F6902" w:rsidRPr="006F6902" w:rsidRDefault="006F6902" w:rsidP="006F6902">
      <w:pPr>
        <w:rPr>
          <w:b/>
          <w:bCs/>
          <w:color w:val="0070C0"/>
        </w:rPr>
      </w:pPr>
      <w:r w:rsidRPr="006F6902">
        <w:rPr>
          <w:b/>
          <w:bCs/>
          <w:color w:val="0070C0"/>
        </w:rPr>
        <w:lastRenderedPageBreak/>
        <w:t>Observations and recommendations for improvement are summarized under the following five key principles:</w:t>
      </w:r>
    </w:p>
    <w:p w14:paraId="582D7856" w14:textId="77777777" w:rsidR="006F6902" w:rsidRDefault="006F6902" w:rsidP="006F6902">
      <w:r>
        <w:t>1. Patient-centered transition support, as previously noted</w:t>
      </w:r>
    </w:p>
    <w:p w14:paraId="636E700E" w14:textId="77777777" w:rsidR="006F6902" w:rsidRDefault="006F6902" w:rsidP="006F6902">
      <w:r>
        <w:t>2. Shift appropriate care form hospital and emergency departments to primary care,</w:t>
      </w:r>
    </w:p>
    <w:p w14:paraId="1ECDA9BF" w14:textId="77777777" w:rsidR="006F6902" w:rsidRDefault="006F6902" w:rsidP="006F6902">
      <w:r>
        <w:t>3. Focus on improvement of clinical quality and patient care,</w:t>
      </w:r>
    </w:p>
    <w:p w14:paraId="52F5C400" w14:textId="77777777" w:rsidR="006F6902" w:rsidRDefault="006F6902" w:rsidP="006F6902">
      <w:r>
        <w:t>4. Establish cross-sector collaboration with defined accountabilities, and</w:t>
      </w:r>
    </w:p>
    <w:p w14:paraId="396D1602" w14:textId="77777777" w:rsidR="006F6902" w:rsidRDefault="006F6902" w:rsidP="006F6902">
      <w:r>
        <w:t>5. Enhance data sharing across industry sectors through consistent risk assessment and automation of information flow.</w:t>
      </w:r>
    </w:p>
    <w:p w14:paraId="28F214AF" w14:textId="77777777" w:rsidR="006F6902" w:rsidRDefault="006F6902" w:rsidP="006F6902"/>
    <w:p w14:paraId="6A103BC3" w14:textId="77777777" w:rsidR="006F6902" w:rsidRPr="006F6902" w:rsidRDefault="006F6902" w:rsidP="006F6902">
      <w:pPr>
        <w:pStyle w:val="Default"/>
        <w:rPr>
          <w:color w:val="0070C0"/>
          <w:sz w:val="22"/>
          <w:szCs w:val="22"/>
        </w:rPr>
      </w:pPr>
      <w:r w:rsidRPr="006F6902">
        <w:rPr>
          <w:b/>
          <w:bCs/>
          <w:color w:val="0070C0"/>
          <w:sz w:val="22"/>
          <w:szCs w:val="22"/>
        </w:rPr>
        <w:t xml:space="preserve">Recommendations: </w:t>
      </w:r>
    </w:p>
    <w:p w14:paraId="0BD19EE8" w14:textId="77777777" w:rsidR="006F6902" w:rsidRDefault="006F6902" w:rsidP="006F6902">
      <w:pPr>
        <w:pStyle w:val="Default"/>
        <w:spacing w:after="18"/>
        <w:rPr>
          <w:sz w:val="22"/>
          <w:szCs w:val="22"/>
        </w:rPr>
      </w:pPr>
      <w:r>
        <w:rPr>
          <w:sz w:val="22"/>
          <w:szCs w:val="22"/>
        </w:rPr>
        <w:t xml:space="preserve">1. Engage patients and family in partnership to develop a self-care strategy in preparation for discharge </w:t>
      </w:r>
    </w:p>
    <w:p w14:paraId="03C9CF73" w14:textId="77777777" w:rsidR="006F6902" w:rsidRDefault="006F6902" w:rsidP="006F6902">
      <w:pPr>
        <w:pStyle w:val="Default"/>
        <w:numPr>
          <w:ilvl w:val="1"/>
          <w:numId w:val="1"/>
        </w:numPr>
        <w:spacing w:after="18"/>
        <w:rPr>
          <w:sz w:val="22"/>
          <w:szCs w:val="22"/>
        </w:rPr>
      </w:pPr>
      <w:r>
        <w:rPr>
          <w:sz w:val="22"/>
          <w:szCs w:val="22"/>
        </w:rPr>
        <w:t xml:space="preserve">2. Deliver evidence-based education to patients and verify comprehension </w:t>
      </w:r>
    </w:p>
    <w:p w14:paraId="702825D9" w14:textId="77777777" w:rsidR="006F6902" w:rsidRDefault="006F6902" w:rsidP="006F6902">
      <w:pPr>
        <w:pStyle w:val="Default"/>
        <w:numPr>
          <w:ilvl w:val="6"/>
          <w:numId w:val="1"/>
        </w:numPr>
        <w:spacing w:after="18"/>
        <w:rPr>
          <w:sz w:val="22"/>
          <w:szCs w:val="22"/>
        </w:rPr>
      </w:pPr>
      <w:r>
        <w:rPr>
          <w:sz w:val="22"/>
          <w:szCs w:val="22"/>
        </w:rPr>
        <w:t xml:space="preserve">     a) Ensure patients understand the importance of follow-up with primary &amp; other care </w:t>
      </w:r>
    </w:p>
    <w:p w14:paraId="4F40E314" w14:textId="77777777" w:rsidR="006F6902" w:rsidRDefault="006F6902" w:rsidP="006F6902">
      <w:pPr>
        <w:pStyle w:val="Default"/>
        <w:numPr>
          <w:ilvl w:val="5"/>
          <w:numId w:val="1"/>
        </w:numPr>
        <w:spacing w:after="18"/>
        <w:rPr>
          <w:sz w:val="22"/>
          <w:szCs w:val="22"/>
        </w:rPr>
      </w:pPr>
      <w:r>
        <w:rPr>
          <w:sz w:val="22"/>
          <w:szCs w:val="22"/>
        </w:rPr>
        <w:t xml:space="preserve">     b) Engage patients and families in discharge planning and education </w:t>
      </w:r>
    </w:p>
    <w:p w14:paraId="075449D1" w14:textId="77777777" w:rsidR="006F6902" w:rsidRDefault="006F6902" w:rsidP="006F6902">
      <w:pPr>
        <w:pStyle w:val="Default"/>
        <w:numPr>
          <w:ilvl w:val="5"/>
          <w:numId w:val="1"/>
        </w:numPr>
        <w:spacing w:after="18"/>
        <w:rPr>
          <w:sz w:val="22"/>
          <w:szCs w:val="22"/>
        </w:rPr>
      </w:pPr>
      <w:r>
        <w:rPr>
          <w:sz w:val="22"/>
          <w:szCs w:val="22"/>
        </w:rPr>
        <w:t xml:space="preserve">     c) Ensure patient has a clear contact to call for immediate post-discharge needs </w:t>
      </w:r>
    </w:p>
    <w:p w14:paraId="47A07858" w14:textId="77777777" w:rsidR="006F6902" w:rsidRDefault="006F6902" w:rsidP="006F6902">
      <w:pPr>
        <w:pStyle w:val="Default"/>
        <w:numPr>
          <w:ilvl w:val="5"/>
          <w:numId w:val="1"/>
        </w:numPr>
        <w:rPr>
          <w:sz w:val="22"/>
          <w:szCs w:val="22"/>
        </w:rPr>
      </w:pPr>
      <w:r>
        <w:rPr>
          <w:sz w:val="22"/>
          <w:szCs w:val="22"/>
        </w:rPr>
        <w:t xml:space="preserve">     d) Activate patients to recognize early warning signs (“red flags”) and have an action plan </w:t>
      </w:r>
    </w:p>
    <w:p w14:paraId="7235A241" w14:textId="77777777" w:rsidR="006F6902" w:rsidRDefault="006F6902" w:rsidP="006F6902">
      <w:pPr>
        <w:pStyle w:val="Default"/>
        <w:numPr>
          <w:ilvl w:val="1"/>
          <w:numId w:val="1"/>
        </w:numPr>
        <w:rPr>
          <w:sz w:val="22"/>
          <w:szCs w:val="22"/>
        </w:rPr>
      </w:pPr>
      <w:r>
        <w:rPr>
          <w:sz w:val="22"/>
          <w:szCs w:val="22"/>
        </w:rPr>
        <w:t xml:space="preserve">3. Deploy a consistent Medication Review and Reconciliation process </w:t>
      </w:r>
    </w:p>
    <w:p w14:paraId="0E9E9319" w14:textId="77777777" w:rsidR="006F6902" w:rsidRDefault="006F6902" w:rsidP="006F6902">
      <w:pPr>
        <w:pStyle w:val="Default"/>
        <w:numPr>
          <w:ilvl w:val="1"/>
          <w:numId w:val="1"/>
        </w:numPr>
        <w:rPr>
          <w:sz w:val="22"/>
          <w:szCs w:val="22"/>
        </w:rPr>
      </w:pPr>
      <w:r>
        <w:rPr>
          <w:sz w:val="22"/>
          <w:szCs w:val="22"/>
        </w:rPr>
        <w:t xml:space="preserve">4. Transition record/Discharge plan – teaching, reaffirming, verification, identification of barriers </w:t>
      </w:r>
    </w:p>
    <w:p w14:paraId="747DE6BE" w14:textId="77777777" w:rsidR="006F6902" w:rsidRDefault="006F6902" w:rsidP="006F6902">
      <w:pPr>
        <w:pStyle w:val="Default"/>
        <w:numPr>
          <w:ilvl w:val="1"/>
          <w:numId w:val="1"/>
        </w:numPr>
        <w:spacing w:after="18"/>
        <w:rPr>
          <w:sz w:val="22"/>
          <w:szCs w:val="22"/>
        </w:rPr>
      </w:pPr>
      <w:r>
        <w:rPr>
          <w:sz w:val="22"/>
          <w:szCs w:val="22"/>
        </w:rPr>
        <w:t xml:space="preserve">5. Make follow-up appointments by entity with best patient relationship, on behalf of PCP: </w:t>
      </w:r>
    </w:p>
    <w:p w14:paraId="1D09FDDD" w14:textId="77777777" w:rsidR="006F6902" w:rsidRDefault="006F6902" w:rsidP="006F6902">
      <w:pPr>
        <w:pStyle w:val="Default"/>
        <w:numPr>
          <w:ilvl w:val="1"/>
          <w:numId w:val="1"/>
        </w:numPr>
        <w:spacing w:after="18"/>
        <w:rPr>
          <w:sz w:val="22"/>
          <w:szCs w:val="22"/>
        </w:rPr>
      </w:pPr>
      <w:r>
        <w:rPr>
          <w:sz w:val="22"/>
          <w:szCs w:val="22"/>
        </w:rPr>
        <w:t xml:space="preserve">     a) Develop automated or self-reported assessment of patient relationships </w:t>
      </w:r>
    </w:p>
    <w:p w14:paraId="235CBE0F" w14:textId="77777777" w:rsidR="006F6902" w:rsidRDefault="006F6902" w:rsidP="006F6902">
      <w:pPr>
        <w:pStyle w:val="Default"/>
        <w:numPr>
          <w:ilvl w:val="1"/>
          <w:numId w:val="1"/>
        </w:numPr>
        <w:rPr>
          <w:sz w:val="22"/>
          <w:szCs w:val="22"/>
        </w:rPr>
      </w:pPr>
      <w:r>
        <w:rPr>
          <w:sz w:val="22"/>
          <w:szCs w:val="22"/>
        </w:rPr>
        <w:t xml:space="preserve">     b) Identify and mitigate barriers to follow-up </w:t>
      </w:r>
    </w:p>
    <w:p w14:paraId="37F416D2" w14:textId="77777777" w:rsidR="006F6902" w:rsidRDefault="006F6902" w:rsidP="006F6902">
      <w:pPr>
        <w:pStyle w:val="Default"/>
        <w:numPr>
          <w:ilvl w:val="1"/>
          <w:numId w:val="1"/>
        </w:numPr>
        <w:rPr>
          <w:sz w:val="22"/>
          <w:szCs w:val="22"/>
        </w:rPr>
      </w:pPr>
      <w:r>
        <w:rPr>
          <w:sz w:val="22"/>
          <w:szCs w:val="22"/>
        </w:rPr>
        <w:t xml:space="preserve">6. Apply AHRQ IDEAL Discharge Planning elements </w:t>
      </w:r>
    </w:p>
    <w:p w14:paraId="2A1C5A2C" w14:textId="77777777" w:rsidR="006F6902" w:rsidRDefault="006F6902" w:rsidP="006F6902">
      <w:pPr>
        <w:pStyle w:val="Default"/>
        <w:numPr>
          <w:ilvl w:val="1"/>
          <w:numId w:val="1"/>
        </w:numPr>
        <w:rPr>
          <w:sz w:val="22"/>
          <w:szCs w:val="22"/>
        </w:rPr>
      </w:pPr>
      <w:r>
        <w:rPr>
          <w:sz w:val="22"/>
          <w:szCs w:val="22"/>
        </w:rPr>
        <w:t xml:space="preserve">7. Develop process for care plan development which is patient-centered, and provider supported </w:t>
      </w:r>
    </w:p>
    <w:p w14:paraId="1CBC0255" w14:textId="77777777" w:rsidR="006F6902" w:rsidRDefault="006F6902" w:rsidP="006F6902"/>
    <w:p w14:paraId="73B24121" w14:textId="5BD4A81F" w:rsidR="006F6902" w:rsidRDefault="006F6902" w:rsidP="006F6902"/>
    <w:p w14:paraId="0842A167" w14:textId="7F36B4B8" w:rsidR="006F6902" w:rsidRDefault="006F6902" w:rsidP="006F6902"/>
    <w:p w14:paraId="7EF5BDAD" w14:textId="77777777" w:rsidR="00D7535F" w:rsidRDefault="00D7535F" w:rsidP="006F6902">
      <w:pPr>
        <w:rPr>
          <w:b/>
          <w:bCs/>
          <w:color w:val="0070C0"/>
        </w:rPr>
      </w:pPr>
    </w:p>
    <w:p w14:paraId="5E28DF0D" w14:textId="77777777" w:rsidR="00D7535F" w:rsidRDefault="00D7535F" w:rsidP="006F6902">
      <w:pPr>
        <w:rPr>
          <w:b/>
          <w:bCs/>
          <w:color w:val="0070C0"/>
        </w:rPr>
      </w:pPr>
    </w:p>
    <w:p w14:paraId="201C9B1D" w14:textId="77777777" w:rsidR="00D7535F" w:rsidRDefault="00D7535F" w:rsidP="006F6902">
      <w:pPr>
        <w:rPr>
          <w:b/>
          <w:bCs/>
          <w:color w:val="0070C0"/>
        </w:rPr>
      </w:pPr>
    </w:p>
    <w:p w14:paraId="72EB2840" w14:textId="77777777" w:rsidR="00D7535F" w:rsidRDefault="00D7535F" w:rsidP="006F6902">
      <w:pPr>
        <w:rPr>
          <w:b/>
          <w:bCs/>
          <w:color w:val="0070C0"/>
        </w:rPr>
      </w:pPr>
    </w:p>
    <w:p w14:paraId="789D3CDA" w14:textId="77777777" w:rsidR="00D7535F" w:rsidRDefault="00D7535F" w:rsidP="006F6902">
      <w:pPr>
        <w:rPr>
          <w:b/>
          <w:bCs/>
          <w:color w:val="0070C0"/>
        </w:rPr>
      </w:pPr>
    </w:p>
    <w:p w14:paraId="4DD58163" w14:textId="77777777" w:rsidR="00D7535F" w:rsidRDefault="00D7535F" w:rsidP="006F6902">
      <w:pPr>
        <w:rPr>
          <w:b/>
          <w:bCs/>
          <w:color w:val="0070C0"/>
        </w:rPr>
      </w:pPr>
    </w:p>
    <w:p w14:paraId="0B923255" w14:textId="77777777" w:rsidR="00D7535F" w:rsidRDefault="00D7535F" w:rsidP="006F6902">
      <w:pPr>
        <w:rPr>
          <w:b/>
          <w:bCs/>
          <w:color w:val="0070C0"/>
        </w:rPr>
      </w:pPr>
    </w:p>
    <w:p w14:paraId="0BA5D281" w14:textId="77777777" w:rsidR="00D7535F" w:rsidRDefault="00D7535F" w:rsidP="006F6902">
      <w:pPr>
        <w:rPr>
          <w:b/>
          <w:bCs/>
          <w:color w:val="0070C0"/>
        </w:rPr>
      </w:pPr>
    </w:p>
    <w:p w14:paraId="74CCEBEB" w14:textId="77777777" w:rsidR="00D7535F" w:rsidRDefault="00D7535F" w:rsidP="006F6902">
      <w:pPr>
        <w:rPr>
          <w:b/>
          <w:bCs/>
          <w:color w:val="0070C0"/>
        </w:rPr>
      </w:pPr>
    </w:p>
    <w:p w14:paraId="737FC1D3" w14:textId="77777777" w:rsidR="00D7535F" w:rsidRDefault="00D7535F" w:rsidP="006F6902">
      <w:pPr>
        <w:rPr>
          <w:b/>
          <w:bCs/>
          <w:color w:val="0070C0"/>
        </w:rPr>
      </w:pPr>
    </w:p>
    <w:p w14:paraId="1774EB66" w14:textId="77777777" w:rsidR="00D7535F" w:rsidRDefault="00D7535F" w:rsidP="006F6902">
      <w:pPr>
        <w:rPr>
          <w:b/>
          <w:bCs/>
          <w:color w:val="0070C0"/>
        </w:rPr>
      </w:pPr>
    </w:p>
    <w:p w14:paraId="2D0DA16F" w14:textId="77777777" w:rsidR="00D7535F" w:rsidRDefault="00D7535F" w:rsidP="006F6902">
      <w:pPr>
        <w:rPr>
          <w:b/>
          <w:bCs/>
          <w:color w:val="0070C0"/>
        </w:rPr>
      </w:pPr>
    </w:p>
    <w:p w14:paraId="609CB624" w14:textId="77777777" w:rsidR="00D7535F" w:rsidRDefault="00D7535F" w:rsidP="006F6902">
      <w:pPr>
        <w:rPr>
          <w:b/>
          <w:bCs/>
          <w:color w:val="0070C0"/>
        </w:rPr>
      </w:pPr>
    </w:p>
    <w:p w14:paraId="7DD4F062" w14:textId="77777777" w:rsidR="00D7535F" w:rsidRDefault="00D7535F" w:rsidP="006F6902">
      <w:pPr>
        <w:rPr>
          <w:b/>
          <w:bCs/>
          <w:color w:val="0070C0"/>
        </w:rPr>
      </w:pPr>
    </w:p>
    <w:p w14:paraId="224CAB4F" w14:textId="77777777" w:rsidR="00D7535F" w:rsidRDefault="00D7535F" w:rsidP="006F6902">
      <w:pPr>
        <w:rPr>
          <w:b/>
          <w:bCs/>
          <w:color w:val="0070C0"/>
        </w:rPr>
      </w:pPr>
    </w:p>
    <w:p w14:paraId="369FE15D" w14:textId="77777777" w:rsidR="00D7535F" w:rsidRDefault="00D7535F" w:rsidP="006F6902">
      <w:pPr>
        <w:rPr>
          <w:b/>
          <w:bCs/>
          <w:color w:val="0070C0"/>
        </w:rPr>
      </w:pPr>
    </w:p>
    <w:p w14:paraId="376C100B" w14:textId="77777777" w:rsidR="00D7535F" w:rsidRDefault="00D7535F" w:rsidP="006F6902">
      <w:pPr>
        <w:rPr>
          <w:b/>
          <w:bCs/>
          <w:color w:val="0070C0"/>
        </w:rPr>
      </w:pPr>
    </w:p>
    <w:p w14:paraId="4EDFF9D9" w14:textId="77777777" w:rsidR="00D7535F" w:rsidRDefault="00D7535F" w:rsidP="006F6902">
      <w:pPr>
        <w:rPr>
          <w:b/>
          <w:bCs/>
          <w:color w:val="0070C0"/>
        </w:rPr>
      </w:pPr>
    </w:p>
    <w:p w14:paraId="48B22339" w14:textId="77777777" w:rsidR="00D7535F" w:rsidRDefault="00D7535F" w:rsidP="006F6902">
      <w:pPr>
        <w:rPr>
          <w:b/>
          <w:bCs/>
          <w:color w:val="0070C0"/>
        </w:rPr>
      </w:pPr>
    </w:p>
    <w:p w14:paraId="52377538" w14:textId="77777777" w:rsidR="00D7535F" w:rsidRDefault="00D7535F" w:rsidP="006F6902">
      <w:pPr>
        <w:rPr>
          <w:b/>
          <w:bCs/>
          <w:color w:val="0070C0"/>
        </w:rPr>
      </w:pPr>
    </w:p>
    <w:p w14:paraId="665AD82C" w14:textId="77777777" w:rsidR="00D7535F" w:rsidRDefault="00D7535F" w:rsidP="006F6902">
      <w:pPr>
        <w:rPr>
          <w:b/>
          <w:bCs/>
          <w:color w:val="0070C0"/>
        </w:rPr>
      </w:pPr>
    </w:p>
    <w:p w14:paraId="18798F6B" w14:textId="4623EE52" w:rsidR="006F6902" w:rsidRPr="006F6902" w:rsidRDefault="006F6902" w:rsidP="006F6902">
      <w:pPr>
        <w:rPr>
          <w:b/>
          <w:bCs/>
          <w:color w:val="0070C0"/>
        </w:rPr>
      </w:pPr>
      <w:r w:rsidRPr="006F6902">
        <w:rPr>
          <w:b/>
          <w:bCs/>
          <w:color w:val="0070C0"/>
        </w:rPr>
        <w:lastRenderedPageBreak/>
        <w:t>Medication Reconciliation Cross-Sector Example Workflow</w:t>
      </w:r>
    </w:p>
    <w:p w14:paraId="0A7FBC3D" w14:textId="54ABBDA9" w:rsidR="006F6902" w:rsidRDefault="006F6902" w:rsidP="006F6902">
      <w:r>
        <w:rPr>
          <w:noProof/>
        </w:rPr>
        <w:drawing>
          <wp:inline distT="0" distB="0" distL="0" distR="0" wp14:anchorId="3F6B5967" wp14:editId="321E6F97">
            <wp:extent cx="5943600" cy="4412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12615"/>
                    </a:xfrm>
                    <a:prstGeom prst="rect">
                      <a:avLst/>
                    </a:prstGeom>
                    <a:noFill/>
                    <a:ln>
                      <a:noFill/>
                    </a:ln>
                  </pic:spPr>
                </pic:pic>
              </a:graphicData>
            </a:graphic>
          </wp:inline>
        </w:drawing>
      </w:r>
    </w:p>
    <w:p w14:paraId="616524C2" w14:textId="77777777" w:rsidR="006F6902" w:rsidRDefault="006F6902" w:rsidP="006F6902"/>
    <w:p w14:paraId="004013F3" w14:textId="77777777" w:rsidR="006F6902" w:rsidRPr="006F6902" w:rsidRDefault="006F6902" w:rsidP="006F6902">
      <w:pPr>
        <w:autoSpaceDE w:val="0"/>
        <w:autoSpaceDN w:val="0"/>
        <w:adjustRightInd w:val="0"/>
        <w:rPr>
          <w:rFonts w:ascii="Calibri" w:hAnsi="Calibri" w:cs="Calibri"/>
          <w:b/>
          <w:bCs/>
          <w:color w:val="0070C0"/>
          <w:sz w:val="24"/>
          <w:szCs w:val="24"/>
        </w:rPr>
      </w:pPr>
      <w:r w:rsidRPr="006F6902">
        <w:rPr>
          <w:rFonts w:ascii="Calibri" w:hAnsi="Calibri" w:cs="Calibri"/>
          <w:b/>
          <w:bCs/>
          <w:color w:val="0070C0"/>
          <w:sz w:val="24"/>
          <w:szCs w:val="24"/>
        </w:rPr>
        <w:t>To engage patients/families in discharge planning and education and ensure they are confident that they can perform self-care at home, the following process should be considered:</w:t>
      </w:r>
    </w:p>
    <w:p w14:paraId="354A1337" w14:textId="68CF354D" w:rsidR="006F6902" w:rsidRPr="006F6902" w:rsidRDefault="006F6902" w:rsidP="006F6902">
      <w:pPr>
        <w:pStyle w:val="ListParagraph"/>
        <w:numPr>
          <w:ilvl w:val="0"/>
          <w:numId w:val="4"/>
        </w:numPr>
        <w:autoSpaceDE w:val="0"/>
        <w:autoSpaceDN w:val="0"/>
        <w:adjustRightInd w:val="0"/>
        <w:rPr>
          <w:rFonts w:ascii="Calibri" w:hAnsi="Calibri" w:cs="Calibri"/>
          <w:color w:val="000000"/>
          <w:sz w:val="24"/>
          <w:szCs w:val="24"/>
        </w:rPr>
      </w:pPr>
      <w:r w:rsidRPr="006F6902">
        <w:rPr>
          <w:rFonts w:ascii="Calibri" w:hAnsi="Calibri" w:cs="Calibri"/>
          <w:color w:val="000000"/>
          <w:sz w:val="24"/>
          <w:szCs w:val="24"/>
        </w:rPr>
        <w:t>Provide a patient-centered discharge action plan:</w:t>
      </w:r>
    </w:p>
    <w:p w14:paraId="75CFF8D3" w14:textId="3668F8F6" w:rsidR="006F6902" w:rsidRPr="006F6902" w:rsidRDefault="006F6902" w:rsidP="006F6902">
      <w:pPr>
        <w:pStyle w:val="ListParagraph"/>
        <w:numPr>
          <w:ilvl w:val="1"/>
          <w:numId w:val="4"/>
        </w:numPr>
        <w:autoSpaceDE w:val="0"/>
        <w:autoSpaceDN w:val="0"/>
        <w:adjustRightInd w:val="0"/>
        <w:rPr>
          <w:rFonts w:ascii="Calibri" w:hAnsi="Calibri" w:cs="Calibri"/>
          <w:color w:val="000000"/>
          <w:sz w:val="24"/>
          <w:szCs w:val="24"/>
        </w:rPr>
      </w:pPr>
      <w:r w:rsidRPr="006F6902">
        <w:rPr>
          <w:rFonts w:ascii="Calibri" w:hAnsi="Calibri" w:cs="Calibri"/>
          <w:color w:val="000000"/>
          <w:sz w:val="24"/>
          <w:szCs w:val="24"/>
        </w:rPr>
        <w:t>Patients &amp; family write on form primarily (if able)</w:t>
      </w:r>
    </w:p>
    <w:p w14:paraId="4689A8B1" w14:textId="500B97E7" w:rsidR="006F6902" w:rsidRPr="006F6902" w:rsidRDefault="006F6902" w:rsidP="006F6902">
      <w:pPr>
        <w:pStyle w:val="ListParagraph"/>
        <w:numPr>
          <w:ilvl w:val="1"/>
          <w:numId w:val="4"/>
        </w:numPr>
        <w:autoSpaceDE w:val="0"/>
        <w:autoSpaceDN w:val="0"/>
        <w:adjustRightInd w:val="0"/>
        <w:rPr>
          <w:rFonts w:ascii="Calibri" w:hAnsi="Calibri" w:cs="Calibri"/>
          <w:color w:val="000000"/>
          <w:sz w:val="24"/>
          <w:szCs w:val="24"/>
        </w:rPr>
      </w:pPr>
      <w:r w:rsidRPr="006F6902">
        <w:rPr>
          <w:rFonts w:ascii="Calibri" w:hAnsi="Calibri" w:cs="Calibri"/>
          <w:color w:val="000000"/>
          <w:sz w:val="24"/>
          <w:szCs w:val="24"/>
        </w:rPr>
        <w:t>Does not replace discharge instructions, but would benefit the process if the discharge instructions mirrored the structure of the patient-centered discharge action plan</w:t>
      </w:r>
    </w:p>
    <w:p w14:paraId="2A1979D3" w14:textId="608B3F09" w:rsidR="006F6902" w:rsidRPr="006F6902" w:rsidRDefault="006F6902" w:rsidP="006F6902">
      <w:pPr>
        <w:pStyle w:val="ListParagraph"/>
        <w:numPr>
          <w:ilvl w:val="1"/>
          <w:numId w:val="4"/>
        </w:numPr>
        <w:autoSpaceDE w:val="0"/>
        <w:autoSpaceDN w:val="0"/>
        <w:adjustRightInd w:val="0"/>
        <w:rPr>
          <w:rFonts w:ascii="Calibri" w:hAnsi="Calibri" w:cs="Calibri"/>
          <w:color w:val="000000"/>
          <w:sz w:val="24"/>
          <w:szCs w:val="24"/>
        </w:rPr>
      </w:pPr>
      <w:r w:rsidRPr="006F6902">
        <w:rPr>
          <w:rFonts w:ascii="Calibri" w:hAnsi="Calibri" w:cs="Calibri"/>
          <w:color w:val="000000"/>
          <w:sz w:val="24"/>
          <w:szCs w:val="24"/>
        </w:rPr>
        <w:t>Form is kept at bedside with extra’s forms available as needed</w:t>
      </w:r>
    </w:p>
    <w:p w14:paraId="2E63603B" w14:textId="56CD4D24" w:rsidR="006F6902" w:rsidRPr="006F6902" w:rsidRDefault="006F6902" w:rsidP="006F6902">
      <w:pPr>
        <w:pStyle w:val="ListParagraph"/>
        <w:numPr>
          <w:ilvl w:val="1"/>
          <w:numId w:val="4"/>
        </w:numPr>
        <w:autoSpaceDE w:val="0"/>
        <w:autoSpaceDN w:val="0"/>
        <w:adjustRightInd w:val="0"/>
        <w:rPr>
          <w:rFonts w:ascii="Calibri" w:hAnsi="Calibri" w:cs="Calibri"/>
          <w:color w:val="000000"/>
          <w:sz w:val="24"/>
          <w:szCs w:val="24"/>
        </w:rPr>
      </w:pPr>
      <w:r w:rsidRPr="006F6902">
        <w:rPr>
          <w:rFonts w:ascii="Calibri" w:hAnsi="Calibri" w:cs="Calibri"/>
          <w:color w:val="000000"/>
          <w:sz w:val="24"/>
          <w:szCs w:val="24"/>
        </w:rPr>
        <w:t>The care team reminds patient &amp; family to take notes on the form and reminds them to write down non-urgent questions to be discussed prior to discharge</w:t>
      </w:r>
    </w:p>
    <w:p w14:paraId="356F8356" w14:textId="22FC01E2" w:rsidR="006F6902" w:rsidRPr="006F6902" w:rsidRDefault="006F6902" w:rsidP="006F6902">
      <w:pPr>
        <w:pStyle w:val="ListParagraph"/>
        <w:numPr>
          <w:ilvl w:val="1"/>
          <w:numId w:val="4"/>
        </w:numPr>
        <w:autoSpaceDE w:val="0"/>
        <w:autoSpaceDN w:val="0"/>
        <w:adjustRightInd w:val="0"/>
        <w:rPr>
          <w:rFonts w:ascii="Calibri" w:hAnsi="Calibri" w:cs="Calibri"/>
          <w:color w:val="000000"/>
          <w:sz w:val="24"/>
          <w:szCs w:val="24"/>
        </w:rPr>
      </w:pPr>
      <w:r w:rsidRPr="006F6902">
        <w:rPr>
          <w:rFonts w:ascii="Calibri" w:hAnsi="Calibri" w:cs="Calibri"/>
          <w:color w:val="000000"/>
          <w:sz w:val="24"/>
          <w:szCs w:val="24"/>
        </w:rPr>
        <w:t>At discharge, review all 5 sections of worksheet as well as the discharge instructions:</w:t>
      </w:r>
    </w:p>
    <w:p w14:paraId="120E5429" w14:textId="7E2DE106" w:rsidR="006F6902" w:rsidRPr="006F6902" w:rsidRDefault="006F6902" w:rsidP="006F6902">
      <w:pPr>
        <w:pStyle w:val="ListParagraph"/>
        <w:numPr>
          <w:ilvl w:val="0"/>
          <w:numId w:val="3"/>
        </w:numPr>
        <w:autoSpaceDE w:val="0"/>
        <w:autoSpaceDN w:val="0"/>
        <w:adjustRightInd w:val="0"/>
        <w:rPr>
          <w:rFonts w:ascii="Calibri" w:hAnsi="Calibri" w:cs="Calibri"/>
          <w:color w:val="000000"/>
          <w:sz w:val="24"/>
          <w:szCs w:val="24"/>
        </w:rPr>
      </w:pPr>
      <w:r w:rsidRPr="006F6902">
        <w:rPr>
          <w:rFonts w:ascii="Calibri" w:hAnsi="Calibri" w:cs="Calibri"/>
          <w:color w:val="000000"/>
          <w:sz w:val="24"/>
          <w:szCs w:val="24"/>
        </w:rPr>
        <w:t>Activate patients to recognize early warning signs (“red flags”) and have a plan to address them.</w:t>
      </w:r>
    </w:p>
    <w:p w14:paraId="4ABF5B2C" w14:textId="6547DC48" w:rsidR="006F6902" w:rsidRPr="006F6902" w:rsidRDefault="006F6902" w:rsidP="006F6902">
      <w:pPr>
        <w:pStyle w:val="ListParagraph"/>
        <w:numPr>
          <w:ilvl w:val="0"/>
          <w:numId w:val="3"/>
        </w:numPr>
        <w:autoSpaceDE w:val="0"/>
        <w:autoSpaceDN w:val="0"/>
        <w:adjustRightInd w:val="0"/>
        <w:rPr>
          <w:rFonts w:ascii="Calibri" w:hAnsi="Calibri" w:cs="Calibri"/>
          <w:color w:val="000000"/>
          <w:sz w:val="24"/>
          <w:szCs w:val="24"/>
        </w:rPr>
      </w:pPr>
      <w:r w:rsidRPr="006F6902">
        <w:rPr>
          <w:rFonts w:ascii="Calibri" w:hAnsi="Calibri" w:cs="Calibri"/>
          <w:color w:val="000000"/>
          <w:sz w:val="24"/>
          <w:szCs w:val="24"/>
        </w:rPr>
        <w:t>Medications to start/stop or change</w:t>
      </w:r>
    </w:p>
    <w:p w14:paraId="2A197C41" w14:textId="1EB83B4E" w:rsidR="006F6902" w:rsidRPr="006F6902" w:rsidRDefault="006F6902" w:rsidP="006F6902">
      <w:pPr>
        <w:pStyle w:val="ListParagraph"/>
        <w:numPr>
          <w:ilvl w:val="0"/>
          <w:numId w:val="3"/>
        </w:numPr>
        <w:autoSpaceDE w:val="0"/>
        <w:autoSpaceDN w:val="0"/>
        <w:adjustRightInd w:val="0"/>
        <w:rPr>
          <w:rFonts w:ascii="Calibri" w:hAnsi="Calibri" w:cs="Calibri"/>
          <w:color w:val="000000"/>
          <w:sz w:val="24"/>
          <w:szCs w:val="24"/>
        </w:rPr>
      </w:pPr>
      <w:r w:rsidRPr="006F6902">
        <w:rPr>
          <w:rFonts w:ascii="Calibri" w:hAnsi="Calibri" w:cs="Calibri"/>
          <w:color w:val="000000"/>
          <w:sz w:val="24"/>
          <w:szCs w:val="24"/>
        </w:rPr>
        <w:t>Follow-up appointments that are scheduled or need to be scheduled may also include outpatient labs or testing</w:t>
      </w:r>
    </w:p>
    <w:p w14:paraId="2EC09837" w14:textId="578D3B8A" w:rsidR="006F6902" w:rsidRPr="006F6902" w:rsidRDefault="006F6902" w:rsidP="006F6902">
      <w:pPr>
        <w:pStyle w:val="ListParagraph"/>
        <w:numPr>
          <w:ilvl w:val="0"/>
          <w:numId w:val="3"/>
        </w:numPr>
        <w:autoSpaceDE w:val="0"/>
        <w:autoSpaceDN w:val="0"/>
        <w:adjustRightInd w:val="0"/>
        <w:rPr>
          <w:rFonts w:ascii="Calibri" w:hAnsi="Calibri" w:cs="Calibri"/>
          <w:color w:val="000000"/>
          <w:sz w:val="24"/>
          <w:szCs w:val="24"/>
        </w:rPr>
      </w:pPr>
      <w:r w:rsidRPr="006F6902">
        <w:rPr>
          <w:rFonts w:ascii="Calibri" w:hAnsi="Calibri" w:cs="Calibri"/>
          <w:color w:val="000000"/>
          <w:sz w:val="24"/>
          <w:szCs w:val="24"/>
        </w:rPr>
        <w:lastRenderedPageBreak/>
        <w:t>Results for follow-up to ensure the patient knows what the next steps are in their treatment plan</w:t>
      </w:r>
    </w:p>
    <w:p w14:paraId="2D9C3E36" w14:textId="7C9F8D91" w:rsidR="006F6902" w:rsidRPr="006F6902" w:rsidRDefault="006F6902" w:rsidP="006F6902">
      <w:pPr>
        <w:pStyle w:val="ListParagraph"/>
        <w:numPr>
          <w:ilvl w:val="0"/>
          <w:numId w:val="3"/>
        </w:numPr>
        <w:autoSpaceDE w:val="0"/>
        <w:autoSpaceDN w:val="0"/>
        <w:adjustRightInd w:val="0"/>
        <w:rPr>
          <w:rFonts w:ascii="Calibri" w:hAnsi="Calibri" w:cs="Calibri"/>
          <w:color w:val="000000"/>
          <w:sz w:val="24"/>
          <w:szCs w:val="24"/>
        </w:rPr>
      </w:pPr>
      <w:r w:rsidRPr="006F6902">
        <w:rPr>
          <w:rFonts w:ascii="Calibri" w:hAnsi="Calibri" w:cs="Calibri"/>
          <w:color w:val="000000"/>
          <w:sz w:val="24"/>
          <w:szCs w:val="24"/>
        </w:rPr>
        <w:t>An open invitation to record questions they may have or information they may need prior to discharge</w:t>
      </w:r>
    </w:p>
    <w:p w14:paraId="5E0B7B5A" w14:textId="1E00BB7C" w:rsidR="006F6902" w:rsidRPr="006F6902" w:rsidRDefault="006F6902" w:rsidP="006F6902">
      <w:pPr>
        <w:pStyle w:val="ListParagraph"/>
        <w:numPr>
          <w:ilvl w:val="0"/>
          <w:numId w:val="4"/>
        </w:numPr>
        <w:autoSpaceDE w:val="0"/>
        <w:autoSpaceDN w:val="0"/>
        <w:adjustRightInd w:val="0"/>
        <w:rPr>
          <w:rFonts w:ascii="Calibri" w:hAnsi="Calibri" w:cs="Calibri"/>
          <w:color w:val="000000"/>
          <w:sz w:val="24"/>
          <w:szCs w:val="24"/>
        </w:rPr>
      </w:pPr>
      <w:r w:rsidRPr="006F6902">
        <w:rPr>
          <w:rFonts w:ascii="Calibri" w:hAnsi="Calibri" w:cs="Calibri"/>
          <w:color w:val="000000"/>
          <w:sz w:val="24"/>
          <w:szCs w:val="24"/>
        </w:rPr>
        <w:t>Clearly review the medication schedule, last dose(s) taken, when the next dose(s) are due and be sure patient has new medications needed.</w:t>
      </w:r>
    </w:p>
    <w:p w14:paraId="79880E73" w14:textId="2AEC4940" w:rsidR="006F6902" w:rsidRPr="006F6902" w:rsidRDefault="006F6902" w:rsidP="006F6902">
      <w:pPr>
        <w:pStyle w:val="ListParagraph"/>
        <w:numPr>
          <w:ilvl w:val="0"/>
          <w:numId w:val="4"/>
        </w:numPr>
        <w:autoSpaceDE w:val="0"/>
        <w:autoSpaceDN w:val="0"/>
        <w:adjustRightInd w:val="0"/>
        <w:rPr>
          <w:rFonts w:ascii="Calibri" w:hAnsi="Calibri" w:cs="Calibri"/>
          <w:color w:val="000000"/>
          <w:sz w:val="24"/>
          <w:szCs w:val="24"/>
        </w:rPr>
      </w:pPr>
      <w:r w:rsidRPr="006F6902">
        <w:rPr>
          <w:rFonts w:ascii="Calibri" w:hAnsi="Calibri" w:cs="Calibri"/>
          <w:color w:val="000000"/>
          <w:sz w:val="24"/>
          <w:szCs w:val="24"/>
        </w:rPr>
        <w:t>Remind patient/caregiver of nurse availability 24/7 - Ensure each patient has a clear contact to call for immediate post-discharge needs prior to attending their post-discharge follow-up visit. It may be a hospital staff person or their PCP if sufficient communication has occurred with the PCP prior to patient discharge.</w:t>
      </w:r>
    </w:p>
    <w:p w14:paraId="739F3B0C" w14:textId="1DFC2A45" w:rsidR="006F6902" w:rsidRPr="006F6902" w:rsidRDefault="006F6902" w:rsidP="006F6902">
      <w:pPr>
        <w:pStyle w:val="ListParagraph"/>
        <w:numPr>
          <w:ilvl w:val="0"/>
          <w:numId w:val="4"/>
        </w:numPr>
        <w:autoSpaceDE w:val="0"/>
        <w:autoSpaceDN w:val="0"/>
        <w:adjustRightInd w:val="0"/>
        <w:rPr>
          <w:rFonts w:ascii="Calibri" w:hAnsi="Calibri" w:cs="Calibri"/>
          <w:color w:val="000000"/>
          <w:sz w:val="24"/>
          <w:szCs w:val="24"/>
        </w:rPr>
      </w:pPr>
      <w:r w:rsidRPr="006F6902">
        <w:rPr>
          <w:rFonts w:ascii="Calibri" w:hAnsi="Calibri" w:cs="Calibri"/>
          <w:color w:val="000000"/>
          <w:sz w:val="24"/>
          <w:szCs w:val="24"/>
        </w:rPr>
        <w:t>Ask if you can have a copy for the chart and upload into EMR.</w:t>
      </w:r>
    </w:p>
    <w:p w14:paraId="3EA94381" w14:textId="77777777" w:rsidR="006F6902" w:rsidRPr="006F6902" w:rsidRDefault="006F6902" w:rsidP="006F6902">
      <w:pPr>
        <w:pStyle w:val="ListParagraph"/>
        <w:numPr>
          <w:ilvl w:val="0"/>
          <w:numId w:val="3"/>
        </w:numPr>
        <w:autoSpaceDE w:val="0"/>
        <w:autoSpaceDN w:val="0"/>
        <w:adjustRightInd w:val="0"/>
        <w:rPr>
          <w:rFonts w:ascii="Calibri" w:hAnsi="Calibri" w:cs="Calibri"/>
          <w:color w:val="000000"/>
          <w:sz w:val="24"/>
          <w:szCs w:val="24"/>
        </w:rPr>
      </w:pPr>
      <w:r w:rsidRPr="006F6902">
        <w:rPr>
          <w:rFonts w:ascii="Calibri" w:hAnsi="Calibri" w:cs="Calibri"/>
          <w:color w:val="000000"/>
          <w:sz w:val="24"/>
          <w:szCs w:val="24"/>
        </w:rPr>
        <w:t>To support this process, please find a best practice example of Anne Arundel Medical Center’s Plan For A Smart Discharge: S.M.A.R.T.SM Discharge Journal and Protocol. It could be used to develop a BHS version to provide to every patient to record their understanding of key elements of their discharge instruction.</w:t>
      </w:r>
    </w:p>
    <w:p w14:paraId="7E8F8759" w14:textId="3FD23214" w:rsidR="006F6902" w:rsidRDefault="006F6902" w:rsidP="006F6902">
      <w:r>
        <w:rPr>
          <w:noProof/>
        </w:rPr>
        <w:drawing>
          <wp:anchor distT="0" distB="0" distL="114300" distR="114300" simplePos="0" relativeHeight="251658240" behindDoc="1" locked="0" layoutInCell="1" allowOverlap="1" wp14:anchorId="1451ABAC" wp14:editId="1FBFF746">
            <wp:simplePos x="0" y="0"/>
            <wp:positionH relativeFrom="column">
              <wp:posOffset>818707</wp:posOffset>
            </wp:positionH>
            <wp:positionV relativeFrom="page">
              <wp:posOffset>3731895</wp:posOffset>
            </wp:positionV>
            <wp:extent cx="3987165" cy="5287010"/>
            <wp:effectExtent l="0" t="0" r="0" b="8890"/>
            <wp:wrapThrough wrapText="bothSides">
              <wp:wrapPolygon edited="0">
                <wp:start x="0" y="0"/>
                <wp:lineTo x="0" y="21558"/>
                <wp:lineTo x="21466" y="21558"/>
                <wp:lineTo x="214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7165" cy="5287010"/>
                    </a:xfrm>
                    <a:prstGeom prst="rect">
                      <a:avLst/>
                    </a:prstGeom>
                    <a:noFill/>
                    <a:ln>
                      <a:noFill/>
                    </a:ln>
                  </pic:spPr>
                </pic:pic>
              </a:graphicData>
            </a:graphic>
          </wp:anchor>
        </w:drawing>
      </w:r>
    </w:p>
    <w:p w14:paraId="63485937" w14:textId="77777777" w:rsidR="006F6902" w:rsidRDefault="006F6902" w:rsidP="006F6902"/>
    <w:p w14:paraId="699384CB" w14:textId="227E0143" w:rsidR="006F6902" w:rsidRDefault="006F6902" w:rsidP="006F6902"/>
    <w:p w14:paraId="57033018" w14:textId="3058F0DF" w:rsidR="006F6902" w:rsidRDefault="006F6902" w:rsidP="006F6902"/>
    <w:p w14:paraId="5F1D60EB" w14:textId="051C0346" w:rsidR="006F6902" w:rsidRDefault="006F6902" w:rsidP="006F6902"/>
    <w:p w14:paraId="1EB63720" w14:textId="4F6D7DEC" w:rsidR="006F6902" w:rsidRDefault="006F6902" w:rsidP="006F6902"/>
    <w:p w14:paraId="3684A286" w14:textId="195BB5B7" w:rsidR="006F6902" w:rsidRDefault="006F6902" w:rsidP="006F6902"/>
    <w:p w14:paraId="6E56E872" w14:textId="17205BBF" w:rsidR="006F6902" w:rsidRDefault="006F6902" w:rsidP="006F6902"/>
    <w:p w14:paraId="4F6C6B74" w14:textId="0D631C68" w:rsidR="006F6902" w:rsidRDefault="006F6902" w:rsidP="006F6902"/>
    <w:p w14:paraId="2E457E66" w14:textId="3B0EE6DF" w:rsidR="006F6902" w:rsidRDefault="006F6902" w:rsidP="006F6902"/>
    <w:p w14:paraId="45BBCE5B" w14:textId="50E84EA0" w:rsidR="006F6902" w:rsidRDefault="006F6902" w:rsidP="006F6902"/>
    <w:p w14:paraId="7B1D3A98" w14:textId="2B5DDDB2" w:rsidR="006F6902" w:rsidRDefault="006F6902" w:rsidP="006F6902"/>
    <w:p w14:paraId="4B0EAE89" w14:textId="0D4A9271" w:rsidR="006F6902" w:rsidRDefault="006F6902" w:rsidP="006F6902"/>
    <w:p w14:paraId="00E0B645" w14:textId="47BD37E7" w:rsidR="006F6902" w:rsidRDefault="006F6902" w:rsidP="006F6902"/>
    <w:p w14:paraId="411673A8" w14:textId="155FD810" w:rsidR="006F6902" w:rsidRDefault="006F6902" w:rsidP="006F6902"/>
    <w:p w14:paraId="18F0A419" w14:textId="62D41518" w:rsidR="006F6902" w:rsidRDefault="006F6902" w:rsidP="006F6902"/>
    <w:p w14:paraId="7D3A1487" w14:textId="383284F1" w:rsidR="006F6902" w:rsidRDefault="006F6902" w:rsidP="006F6902"/>
    <w:p w14:paraId="0522DBCF" w14:textId="255747E7" w:rsidR="006F6902" w:rsidRDefault="006F6902" w:rsidP="006F6902"/>
    <w:p w14:paraId="206E2922" w14:textId="3D2CCA61" w:rsidR="006F6902" w:rsidRDefault="006F6902" w:rsidP="006F6902"/>
    <w:p w14:paraId="7A5CBA96" w14:textId="526EF40B" w:rsidR="006F6902" w:rsidRDefault="006F6902" w:rsidP="006F6902"/>
    <w:p w14:paraId="0595250A" w14:textId="45BA9858" w:rsidR="006F6902" w:rsidRDefault="006F6902" w:rsidP="006F6902"/>
    <w:p w14:paraId="22734C26" w14:textId="3C3D2206" w:rsidR="006F6902" w:rsidRDefault="006F6902" w:rsidP="006F6902"/>
    <w:p w14:paraId="104F2051" w14:textId="469778A0" w:rsidR="006F6902" w:rsidRDefault="006F6902" w:rsidP="006F6902"/>
    <w:p w14:paraId="3BFB6A9E" w14:textId="3735F6BB" w:rsidR="006F6902" w:rsidRDefault="006F6902" w:rsidP="006F6902"/>
    <w:p w14:paraId="2C473AC7" w14:textId="43A6ABC6" w:rsidR="006F6902" w:rsidRDefault="006F6902" w:rsidP="006F6902"/>
    <w:p w14:paraId="6C18AFB5" w14:textId="0A19985C" w:rsidR="006F6902" w:rsidRDefault="006F6902" w:rsidP="006F6902"/>
    <w:p w14:paraId="12F6C097" w14:textId="1F47190E" w:rsidR="006F6902" w:rsidRDefault="006F6902" w:rsidP="006F6902"/>
    <w:p w14:paraId="0598EA68" w14:textId="566553B9" w:rsidR="006F6902" w:rsidRDefault="006F6902" w:rsidP="006F6902"/>
    <w:p w14:paraId="0849C60A" w14:textId="113F1B58" w:rsidR="006F6902" w:rsidRDefault="006F6902" w:rsidP="006F6902"/>
    <w:p w14:paraId="3D08AACD" w14:textId="108D5E48" w:rsidR="006F6902" w:rsidRDefault="006F6902" w:rsidP="006F6902"/>
    <w:p w14:paraId="1A66A189" w14:textId="6E4FD324" w:rsidR="006F6902" w:rsidRDefault="006F6902" w:rsidP="006F6902"/>
    <w:p w14:paraId="07640C22" w14:textId="02622F00" w:rsidR="006F6902" w:rsidRPr="006F6902" w:rsidRDefault="006F6902" w:rsidP="006F6902">
      <w:pPr>
        <w:rPr>
          <w:b/>
          <w:bCs/>
          <w:color w:val="0070C0"/>
        </w:rPr>
      </w:pPr>
      <w:r w:rsidRPr="006F6902">
        <w:rPr>
          <w:b/>
          <w:bCs/>
          <w:color w:val="0070C0"/>
        </w:rPr>
        <w:lastRenderedPageBreak/>
        <w:t>TOC Contact Post Discharge ‘Ask Me 3’</w:t>
      </w:r>
    </w:p>
    <w:p w14:paraId="35A1657F" w14:textId="0BBF827F" w:rsidR="006F6902" w:rsidRDefault="006F6902" w:rsidP="006F6902"/>
    <w:p w14:paraId="349E64C5" w14:textId="77777777" w:rsidR="006F6902" w:rsidRDefault="006F6902" w:rsidP="006F6902">
      <w:pPr>
        <w:pStyle w:val="Default"/>
        <w:spacing w:after="13"/>
        <w:rPr>
          <w:rFonts w:ascii="Wingdings" w:hAnsi="Wingdings" w:cs="Wingdings"/>
          <w:sz w:val="22"/>
          <w:szCs w:val="22"/>
        </w:rPr>
      </w:pPr>
      <w:r>
        <w:rPr>
          <w:sz w:val="22"/>
          <w:szCs w:val="22"/>
        </w:rPr>
        <w:t>The TOC contact post-discharge should reinforce the importance of the follow-up appointment and primary provider relationship. Any entity providing follow-up care, should introduce their efforts as “on behalf of your PCP” or “your PCP asked me to call”, which requires tight communication with the PCP. The call should verify that the follow-up appointment has been made, is still at a time when the patient can attend and identify and mitigate any barriers to attendance as may have occurred since originally scheduled. The call also provides an opportunity to prepare the patient for the visit. Consider the use of preparing the patient to ask key questions such as “Ask Me 3</w:t>
      </w:r>
      <w:r>
        <w:rPr>
          <w:sz w:val="14"/>
          <w:szCs w:val="14"/>
        </w:rPr>
        <w:t>2</w:t>
      </w:r>
      <w:r>
        <w:rPr>
          <w:sz w:val="22"/>
          <w:szCs w:val="22"/>
        </w:rPr>
        <w:t>”</w:t>
      </w:r>
    </w:p>
    <w:p w14:paraId="3B8CAC96" w14:textId="0BB1C295" w:rsidR="006F6902" w:rsidRDefault="00C10D2E" w:rsidP="006F6902">
      <w:hyperlink r:id="rId10" w:history="1">
        <w:r w:rsidR="006F6902">
          <w:rPr>
            <w:rStyle w:val="Hyperlink"/>
            <w:color w:val="0000FF"/>
          </w:rPr>
          <w:t>Ask Me 3: Good Questions for Your Good Health | IHI - Institute for Healthcare Improvement</w:t>
        </w:r>
      </w:hyperlink>
    </w:p>
    <w:p w14:paraId="3D828EB8" w14:textId="54AA0957" w:rsidR="006F6902" w:rsidRDefault="006F6902" w:rsidP="006F6902"/>
    <w:p w14:paraId="1A353DBA" w14:textId="77777777" w:rsidR="006F6902" w:rsidRDefault="006F6902" w:rsidP="006F6902"/>
    <w:p w14:paraId="1EC5DA39" w14:textId="77777777" w:rsidR="006F6902" w:rsidRDefault="006F6902" w:rsidP="006F6902"/>
    <w:p w14:paraId="27518D7B" w14:textId="77777777" w:rsidR="006F6902" w:rsidRPr="006F6902" w:rsidRDefault="006F6902" w:rsidP="006F6902">
      <w:pPr>
        <w:rPr>
          <w:b/>
          <w:bCs/>
          <w:color w:val="0070C0"/>
        </w:rPr>
      </w:pPr>
      <w:r w:rsidRPr="006F6902">
        <w:rPr>
          <w:b/>
          <w:bCs/>
          <w:color w:val="0070C0"/>
        </w:rPr>
        <w:t xml:space="preserve">Best Practices for Post-Admission Documentation, Efficiency &amp; Reducing Duplication </w:t>
      </w:r>
    </w:p>
    <w:p w14:paraId="7EAD7A2D" w14:textId="77777777" w:rsidR="006F6902" w:rsidRDefault="006F6902" w:rsidP="006F6902">
      <w:pPr>
        <w:pStyle w:val="Default"/>
        <w:rPr>
          <w:sz w:val="22"/>
          <w:szCs w:val="22"/>
        </w:rPr>
      </w:pPr>
      <w:r>
        <w:rPr>
          <w:sz w:val="22"/>
          <w:szCs w:val="22"/>
        </w:rPr>
        <w:t xml:space="preserve">A systematic approach to the discharge process involving patients and caregivers and all providers in the continuum of care. Promising practices and evidence-based models provide the basis for consideration as BHS defines a path forward to ensure high-quality, cost-effective transitions. HMA reviewed multiple models including the following: </w:t>
      </w:r>
    </w:p>
    <w:p w14:paraId="6F0374F8" w14:textId="77777777" w:rsidR="006F6902" w:rsidRDefault="006F6902" w:rsidP="006F6902">
      <w:pPr>
        <w:pStyle w:val="Default"/>
        <w:spacing w:after="30"/>
        <w:rPr>
          <w:sz w:val="22"/>
          <w:szCs w:val="22"/>
        </w:rPr>
      </w:pPr>
    </w:p>
    <w:p w14:paraId="60351006" w14:textId="483687C5" w:rsidR="006F6902" w:rsidRDefault="006F6902" w:rsidP="006F6902">
      <w:pPr>
        <w:pStyle w:val="Default"/>
        <w:spacing w:after="30"/>
        <w:rPr>
          <w:sz w:val="22"/>
          <w:szCs w:val="22"/>
        </w:rPr>
      </w:pPr>
      <w:r>
        <w:rPr>
          <w:sz w:val="22"/>
          <w:szCs w:val="22"/>
        </w:rPr>
        <w:t xml:space="preserve">American Medical Association, There and Home Again, Safely: 5 Responsibilities of Ambulatory Practices in High Quality Care Transitions </w:t>
      </w:r>
      <w:hyperlink r:id="rId11" w:history="1">
        <w:r w:rsidRPr="00423D82">
          <w:rPr>
            <w:rStyle w:val="Hyperlink"/>
            <w:sz w:val="22"/>
            <w:szCs w:val="22"/>
          </w:rPr>
          <w:t>http://www.ama-assn.org/resources/doc/patient-safety/ambulatory-practices.pdf</w:t>
        </w:r>
      </w:hyperlink>
      <w:r>
        <w:rPr>
          <w:sz w:val="22"/>
          <w:szCs w:val="22"/>
        </w:rPr>
        <w:t xml:space="preserve">  2013 </w:t>
      </w:r>
    </w:p>
    <w:p w14:paraId="11B62D65" w14:textId="77777777" w:rsidR="006F6902" w:rsidRDefault="006F6902" w:rsidP="006F6902">
      <w:pPr>
        <w:pStyle w:val="Default"/>
        <w:spacing w:after="30"/>
        <w:rPr>
          <w:sz w:val="22"/>
          <w:szCs w:val="22"/>
        </w:rPr>
      </w:pPr>
    </w:p>
    <w:p w14:paraId="6EB4A3CC" w14:textId="5E76F07E" w:rsidR="006F6902" w:rsidRDefault="006F6902" w:rsidP="006F6902">
      <w:pPr>
        <w:pStyle w:val="Default"/>
        <w:spacing w:after="30"/>
        <w:rPr>
          <w:sz w:val="22"/>
          <w:szCs w:val="22"/>
        </w:rPr>
      </w:pPr>
      <w:r>
        <w:rPr>
          <w:sz w:val="22"/>
          <w:szCs w:val="22"/>
        </w:rPr>
        <w:t xml:space="preserve">Center for Healthcare Research and Evidence-based Programs, Care Transitions: Best Practices and Evidence-based Programs, January 2014: </w:t>
      </w:r>
      <w:hyperlink r:id="rId12" w:history="1">
        <w:r w:rsidRPr="00423D82">
          <w:rPr>
            <w:rStyle w:val="Hyperlink"/>
            <w:sz w:val="22"/>
            <w:szCs w:val="22"/>
          </w:rPr>
          <w:t>https://chrt.sites.uofmhosting.net/wp-content/uploads/2014/01/CHRT-Care-Transitions-Best-Practices-and-Evidence-based-Programs-.pdf?_ga=2.86292828.571379536.1619120971-999331931.1619120971</w:t>
        </w:r>
      </w:hyperlink>
      <w:r>
        <w:rPr>
          <w:sz w:val="22"/>
          <w:szCs w:val="22"/>
        </w:rPr>
        <w:t xml:space="preserve">  </w:t>
      </w:r>
    </w:p>
    <w:p w14:paraId="3655F3D4" w14:textId="77777777" w:rsidR="006F6902" w:rsidRDefault="006F6902" w:rsidP="006F6902">
      <w:pPr>
        <w:pStyle w:val="Default"/>
        <w:spacing w:after="30"/>
        <w:rPr>
          <w:sz w:val="22"/>
          <w:szCs w:val="22"/>
        </w:rPr>
      </w:pPr>
    </w:p>
    <w:p w14:paraId="22FCBF59" w14:textId="0FFEDA91" w:rsidR="006F6902" w:rsidRDefault="006F6902" w:rsidP="006F6902">
      <w:pPr>
        <w:pStyle w:val="Default"/>
        <w:spacing w:after="30"/>
        <w:rPr>
          <w:sz w:val="22"/>
          <w:szCs w:val="22"/>
        </w:rPr>
      </w:pPr>
      <w:r>
        <w:rPr>
          <w:sz w:val="22"/>
          <w:szCs w:val="22"/>
        </w:rPr>
        <w:t xml:space="preserve">New York State Partnership for Patients, Preventable Readmission Initiative: </w:t>
      </w:r>
      <w:hyperlink r:id="rId13" w:history="1">
        <w:r w:rsidRPr="00423D82">
          <w:rPr>
            <w:rStyle w:val="Hyperlink"/>
            <w:sz w:val="22"/>
            <w:szCs w:val="22"/>
          </w:rPr>
          <w:t>https://www.nyspfp.org/</w:t>
        </w:r>
      </w:hyperlink>
      <w:r>
        <w:rPr>
          <w:sz w:val="22"/>
          <w:szCs w:val="22"/>
        </w:rPr>
        <w:t xml:space="preserve">  </w:t>
      </w:r>
    </w:p>
    <w:p w14:paraId="70C574E3" w14:textId="77777777" w:rsidR="006F6902" w:rsidRDefault="006F6902" w:rsidP="006F6902">
      <w:pPr>
        <w:pStyle w:val="Default"/>
        <w:spacing w:after="30"/>
        <w:rPr>
          <w:sz w:val="22"/>
          <w:szCs w:val="22"/>
        </w:rPr>
      </w:pPr>
    </w:p>
    <w:p w14:paraId="55458515" w14:textId="08000119" w:rsidR="006F6902" w:rsidRDefault="006F6902" w:rsidP="006F6902">
      <w:pPr>
        <w:pStyle w:val="Default"/>
        <w:spacing w:after="30"/>
        <w:rPr>
          <w:sz w:val="22"/>
          <w:szCs w:val="22"/>
        </w:rPr>
      </w:pPr>
      <w:r>
        <w:rPr>
          <w:sz w:val="22"/>
          <w:szCs w:val="22"/>
        </w:rPr>
        <w:t>Project Boost Implementation Guide 2</w:t>
      </w:r>
      <w:r>
        <w:rPr>
          <w:sz w:val="14"/>
          <w:szCs w:val="14"/>
        </w:rPr>
        <w:t xml:space="preserve">nd </w:t>
      </w:r>
      <w:r>
        <w:rPr>
          <w:sz w:val="22"/>
          <w:szCs w:val="22"/>
        </w:rPr>
        <w:t xml:space="preserve">Edition, 2013: </w:t>
      </w:r>
      <w:hyperlink r:id="rId14" w:history="1">
        <w:r w:rsidRPr="00423D82">
          <w:rPr>
            <w:rStyle w:val="Hyperlink"/>
            <w:sz w:val="22"/>
            <w:szCs w:val="22"/>
          </w:rPr>
          <w:t>https://www.hospitalmedicine.org/globalassets/professional-development/professional-dev-pdf/boost-guide-second-edition.pdf</w:t>
        </w:r>
      </w:hyperlink>
      <w:r>
        <w:rPr>
          <w:sz w:val="22"/>
          <w:szCs w:val="22"/>
        </w:rPr>
        <w:t xml:space="preserve">  </w:t>
      </w:r>
    </w:p>
    <w:p w14:paraId="66ABEACE" w14:textId="77777777" w:rsidR="006F6902" w:rsidRDefault="006F6902" w:rsidP="006F6902">
      <w:pPr>
        <w:pStyle w:val="Default"/>
        <w:spacing w:after="30"/>
        <w:rPr>
          <w:sz w:val="22"/>
          <w:szCs w:val="22"/>
        </w:rPr>
      </w:pPr>
    </w:p>
    <w:p w14:paraId="670F68F8" w14:textId="09591BA7" w:rsidR="006F6902" w:rsidRDefault="006F6902" w:rsidP="006F6902">
      <w:pPr>
        <w:pStyle w:val="Default"/>
        <w:spacing w:after="30"/>
        <w:rPr>
          <w:sz w:val="22"/>
          <w:szCs w:val="22"/>
        </w:rPr>
      </w:pPr>
      <w:r>
        <w:rPr>
          <w:sz w:val="22"/>
          <w:szCs w:val="22"/>
        </w:rPr>
        <w:t xml:space="preserve">Transitional Care Model: University of Pennsylvania School of Nursing New Courtland Center for Transitions and Health </w:t>
      </w:r>
      <w:hyperlink r:id="rId15" w:history="1">
        <w:r w:rsidRPr="00423D82">
          <w:rPr>
            <w:rStyle w:val="Hyperlink"/>
            <w:sz w:val="22"/>
            <w:szCs w:val="22"/>
          </w:rPr>
          <w:t>https://www.nursing.upenn.edu/ncth/transitional-care-model/</w:t>
        </w:r>
      </w:hyperlink>
      <w:r>
        <w:rPr>
          <w:sz w:val="22"/>
          <w:szCs w:val="22"/>
        </w:rPr>
        <w:t xml:space="preserve">  </w:t>
      </w:r>
    </w:p>
    <w:p w14:paraId="58368BDE" w14:textId="77777777" w:rsidR="006F6902" w:rsidRDefault="006F6902" w:rsidP="006F6902">
      <w:pPr>
        <w:pStyle w:val="Default"/>
        <w:spacing w:after="30"/>
        <w:rPr>
          <w:sz w:val="22"/>
          <w:szCs w:val="22"/>
        </w:rPr>
      </w:pPr>
    </w:p>
    <w:p w14:paraId="553AD2FA" w14:textId="5E093BA1" w:rsidR="006F6902" w:rsidRDefault="006F6902" w:rsidP="006F6902">
      <w:pPr>
        <w:pStyle w:val="Default"/>
        <w:spacing w:after="30"/>
        <w:rPr>
          <w:sz w:val="22"/>
          <w:szCs w:val="22"/>
        </w:rPr>
      </w:pPr>
      <w:r>
        <w:rPr>
          <w:sz w:val="22"/>
          <w:szCs w:val="22"/>
        </w:rPr>
        <w:t xml:space="preserve">Institute for Healthcare Improvement: Transforming Care at The Bedside: </w:t>
      </w:r>
      <w:hyperlink r:id="rId16" w:history="1">
        <w:r w:rsidRPr="00423D82">
          <w:rPr>
            <w:rStyle w:val="Hyperlink"/>
            <w:sz w:val="22"/>
            <w:szCs w:val="22"/>
          </w:rPr>
          <w:t>http://www.ihi.org/Engage/Initiatives/Completed/TCAB/Pages/default.aspx</w:t>
        </w:r>
      </w:hyperlink>
      <w:r>
        <w:rPr>
          <w:sz w:val="22"/>
          <w:szCs w:val="22"/>
        </w:rPr>
        <w:t xml:space="preserve">  </w:t>
      </w:r>
    </w:p>
    <w:p w14:paraId="212A5967" w14:textId="77777777" w:rsidR="006F6902" w:rsidRDefault="006F6902" w:rsidP="006F6902">
      <w:pPr>
        <w:pStyle w:val="Default"/>
        <w:spacing w:after="30"/>
        <w:rPr>
          <w:sz w:val="22"/>
          <w:szCs w:val="22"/>
        </w:rPr>
      </w:pPr>
    </w:p>
    <w:p w14:paraId="4CBC9557" w14:textId="635F4EF8" w:rsidR="006F6902" w:rsidRDefault="006F6902" w:rsidP="006F6902">
      <w:pPr>
        <w:pStyle w:val="Default"/>
        <w:spacing w:after="30"/>
        <w:rPr>
          <w:sz w:val="22"/>
          <w:szCs w:val="22"/>
        </w:rPr>
      </w:pPr>
      <w:r>
        <w:rPr>
          <w:sz w:val="22"/>
          <w:szCs w:val="22"/>
        </w:rPr>
        <w:t xml:space="preserve">The Care Transitions Intervention </w:t>
      </w:r>
      <w:hyperlink r:id="rId17" w:history="1">
        <w:r w:rsidRPr="00423D82">
          <w:rPr>
            <w:rStyle w:val="Hyperlink"/>
            <w:sz w:val="22"/>
            <w:szCs w:val="22"/>
          </w:rPr>
          <w:t>https://caretransitions.org/about-the-care-transitions-intervention/</w:t>
        </w:r>
      </w:hyperlink>
      <w:r>
        <w:rPr>
          <w:sz w:val="22"/>
          <w:szCs w:val="22"/>
        </w:rPr>
        <w:t xml:space="preserve">  </w:t>
      </w:r>
    </w:p>
    <w:p w14:paraId="7D0719B1" w14:textId="77777777" w:rsidR="006F6902" w:rsidRDefault="006F6902" w:rsidP="006F6902">
      <w:pPr>
        <w:pStyle w:val="Default"/>
        <w:rPr>
          <w:sz w:val="22"/>
          <w:szCs w:val="22"/>
        </w:rPr>
      </w:pPr>
    </w:p>
    <w:p w14:paraId="79BA003F" w14:textId="6613003D" w:rsidR="006F6902" w:rsidRDefault="006F6902" w:rsidP="006F6902">
      <w:pPr>
        <w:pStyle w:val="Default"/>
        <w:rPr>
          <w:sz w:val="22"/>
          <w:szCs w:val="22"/>
        </w:rPr>
      </w:pPr>
      <w:r>
        <w:rPr>
          <w:sz w:val="22"/>
          <w:szCs w:val="22"/>
        </w:rPr>
        <w:t xml:space="preserve">Project RED (Re-engineered Discharge) – nurse discharge advocates met with patients before discharge, made follow-up appointments, and communicated discharge summaries to PCPs. Pharmacists called patients 2-4 days after discharge to review medications. </w:t>
      </w:r>
      <w:hyperlink r:id="rId18" w:history="1">
        <w:r w:rsidRPr="00423D82">
          <w:rPr>
            <w:rStyle w:val="Hyperlink"/>
            <w:sz w:val="22"/>
            <w:szCs w:val="22"/>
          </w:rPr>
          <w:t>https://www.bu.edu/fammed/projectred/toolkit.html</w:t>
        </w:r>
      </w:hyperlink>
      <w:r>
        <w:rPr>
          <w:sz w:val="22"/>
          <w:szCs w:val="22"/>
        </w:rPr>
        <w:t xml:space="preserve">  </w:t>
      </w:r>
    </w:p>
    <w:p w14:paraId="01FD102C" w14:textId="64622845" w:rsidR="006F6902" w:rsidRDefault="006F6902" w:rsidP="006F6902">
      <w:pPr>
        <w:pStyle w:val="Default"/>
        <w:rPr>
          <w:sz w:val="22"/>
          <w:szCs w:val="22"/>
        </w:rPr>
      </w:pPr>
    </w:p>
    <w:p w14:paraId="24D599AD" w14:textId="77777777" w:rsidR="006F6902" w:rsidRPr="006F6902" w:rsidRDefault="006F6902" w:rsidP="006F6902">
      <w:pPr>
        <w:autoSpaceDE w:val="0"/>
        <w:autoSpaceDN w:val="0"/>
        <w:adjustRightInd w:val="0"/>
        <w:rPr>
          <w:rFonts w:ascii="Calibri" w:hAnsi="Calibri" w:cs="Calibri"/>
          <w:color w:val="000000"/>
        </w:rPr>
      </w:pPr>
      <w:r w:rsidRPr="006F6902">
        <w:rPr>
          <w:rFonts w:ascii="Calibri" w:hAnsi="Calibri" w:cs="Calibri"/>
          <w:b/>
          <w:bCs/>
          <w:color w:val="000000"/>
        </w:rPr>
        <w:t xml:space="preserve">Recommendations </w:t>
      </w:r>
      <w:r w:rsidRPr="006F6902">
        <w:rPr>
          <w:rFonts w:ascii="Calibri" w:hAnsi="Calibri" w:cs="Calibri"/>
          <w:color w:val="000000"/>
        </w:rPr>
        <w:t xml:space="preserve">relative to patient education opportunities: </w:t>
      </w:r>
    </w:p>
    <w:p w14:paraId="317550D3" w14:textId="1B613E94" w:rsidR="006F6902" w:rsidRPr="006F6902" w:rsidRDefault="006F6902" w:rsidP="006F6902">
      <w:pPr>
        <w:pStyle w:val="ListParagraph"/>
        <w:numPr>
          <w:ilvl w:val="0"/>
          <w:numId w:val="4"/>
        </w:numPr>
        <w:autoSpaceDE w:val="0"/>
        <w:autoSpaceDN w:val="0"/>
        <w:adjustRightInd w:val="0"/>
        <w:spacing w:after="18"/>
        <w:rPr>
          <w:rFonts w:ascii="Calibri" w:hAnsi="Calibri" w:cs="Calibri"/>
          <w:color w:val="000000"/>
        </w:rPr>
      </w:pPr>
      <w:r w:rsidRPr="006F6902">
        <w:rPr>
          <w:rFonts w:ascii="Calibri" w:hAnsi="Calibri" w:cs="Calibri"/>
          <w:color w:val="000000"/>
        </w:rPr>
        <w:t xml:space="preserve">Assess how well-prepared patients are to take care of themselves following an inpatient stay. Consider asking 2 questions to all patients being discharged (or receiving TOC calls after discharge) for one week: </w:t>
      </w:r>
    </w:p>
    <w:p w14:paraId="7CAA735C" w14:textId="2DA76D01" w:rsidR="006F6902" w:rsidRPr="006F6902" w:rsidRDefault="006F6902" w:rsidP="006F6902">
      <w:pPr>
        <w:pStyle w:val="ListParagraph"/>
        <w:numPr>
          <w:ilvl w:val="1"/>
          <w:numId w:val="4"/>
        </w:numPr>
        <w:autoSpaceDE w:val="0"/>
        <w:autoSpaceDN w:val="0"/>
        <w:adjustRightInd w:val="0"/>
        <w:spacing w:after="18"/>
        <w:rPr>
          <w:rFonts w:ascii="Calibri" w:hAnsi="Calibri" w:cs="Calibri"/>
          <w:color w:val="000000"/>
        </w:rPr>
      </w:pPr>
      <w:r w:rsidRPr="006F6902">
        <w:rPr>
          <w:rFonts w:ascii="Calibri" w:hAnsi="Calibri" w:cs="Calibri"/>
          <w:color w:val="000000"/>
        </w:rPr>
        <w:t xml:space="preserve">How confident are you that you can manage most of your health problems? Very confident, somewhat confident, not very confident, or does not apply </w:t>
      </w:r>
    </w:p>
    <w:p w14:paraId="32187FEB" w14:textId="713128A5" w:rsidR="006F6902" w:rsidRPr="006F6902" w:rsidRDefault="006F6902" w:rsidP="006F6902">
      <w:pPr>
        <w:pStyle w:val="ListParagraph"/>
        <w:numPr>
          <w:ilvl w:val="1"/>
          <w:numId w:val="4"/>
        </w:numPr>
        <w:autoSpaceDE w:val="0"/>
        <w:autoSpaceDN w:val="0"/>
        <w:adjustRightInd w:val="0"/>
        <w:spacing w:after="18"/>
        <w:rPr>
          <w:rFonts w:ascii="Calibri" w:hAnsi="Calibri" w:cs="Calibri"/>
          <w:color w:val="000000"/>
        </w:rPr>
      </w:pPr>
      <w:r w:rsidRPr="006F6902">
        <w:rPr>
          <w:rFonts w:ascii="Calibri" w:hAnsi="Calibri" w:cs="Calibri"/>
          <w:color w:val="000000"/>
        </w:rPr>
        <w:t xml:space="preserve">How would you rate the health information you received from your doctor or nurse? Excellent very good, good, fair, poor, or I didn’t receive any information </w:t>
      </w:r>
    </w:p>
    <w:p w14:paraId="70F018A2" w14:textId="53E2602E" w:rsidR="006F6902" w:rsidRPr="006F6902" w:rsidRDefault="006F6902" w:rsidP="006F6902">
      <w:pPr>
        <w:pStyle w:val="ListParagraph"/>
        <w:numPr>
          <w:ilvl w:val="0"/>
          <w:numId w:val="4"/>
        </w:numPr>
        <w:autoSpaceDE w:val="0"/>
        <w:autoSpaceDN w:val="0"/>
        <w:adjustRightInd w:val="0"/>
        <w:rPr>
          <w:rFonts w:ascii="Calibri" w:hAnsi="Calibri" w:cs="Calibri"/>
          <w:color w:val="000000"/>
        </w:rPr>
      </w:pPr>
      <w:r w:rsidRPr="006F6902">
        <w:rPr>
          <w:rFonts w:ascii="Calibri" w:hAnsi="Calibri" w:cs="Calibri"/>
          <w:color w:val="000000"/>
        </w:rPr>
        <w:t xml:space="preserve">Consider use of patient education materials that can be tailored to the patient’s needs. For example: </w:t>
      </w:r>
    </w:p>
    <w:p w14:paraId="24AFD96E" w14:textId="09350CD5" w:rsidR="006F6902" w:rsidRDefault="006F6902" w:rsidP="006F6902">
      <w:pPr>
        <w:pStyle w:val="Default"/>
        <w:rPr>
          <w:sz w:val="22"/>
          <w:szCs w:val="22"/>
        </w:rPr>
      </w:pPr>
    </w:p>
    <w:p w14:paraId="5339FFE0" w14:textId="2E5C4B47" w:rsidR="006F6902" w:rsidRDefault="006F6902" w:rsidP="006F6902">
      <w:pPr>
        <w:pStyle w:val="Default"/>
        <w:rPr>
          <w:sz w:val="22"/>
          <w:szCs w:val="22"/>
        </w:rPr>
      </w:pPr>
      <w:r>
        <w:rPr>
          <w:noProof/>
        </w:rPr>
        <w:drawing>
          <wp:inline distT="0" distB="0" distL="0" distR="0" wp14:anchorId="25C0B524" wp14:editId="6CF1F174">
            <wp:extent cx="5514975" cy="2162175"/>
            <wp:effectExtent l="0" t="0" r="9525" b="952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9"/>
                    <a:stretch>
                      <a:fillRect/>
                    </a:stretch>
                  </pic:blipFill>
                  <pic:spPr>
                    <a:xfrm>
                      <a:off x="0" y="0"/>
                      <a:ext cx="5514975" cy="2162175"/>
                    </a:xfrm>
                    <a:prstGeom prst="rect">
                      <a:avLst/>
                    </a:prstGeom>
                  </pic:spPr>
                </pic:pic>
              </a:graphicData>
            </a:graphic>
          </wp:inline>
        </w:drawing>
      </w:r>
    </w:p>
    <w:p w14:paraId="025C793C" w14:textId="4ACA623C" w:rsidR="006F6902" w:rsidRDefault="006F6902" w:rsidP="006F6902">
      <w:pPr>
        <w:pStyle w:val="Default"/>
        <w:rPr>
          <w:rFonts w:asciiTheme="minorHAnsi" w:hAnsiTheme="minorHAnsi" w:cstheme="minorBidi"/>
          <w:color w:val="auto"/>
          <w:sz w:val="22"/>
          <w:szCs w:val="22"/>
        </w:rPr>
      </w:pPr>
      <w:r>
        <w:rPr>
          <w:noProof/>
        </w:rPr>
        <w:drawing>
          <wp:anchor distT="0" distB="0" distL="114300" distR="114300" simplePos="0" relativeHeight="251660288" behindDoc="1" locked="0" layoutInCell="1" allowOverlap="1" wp14:anchorId="52B742A3" wp14:editId="557BCB86">
            <wp:simplePos x="0" y="0"/>
            <wp:positionH relativeFrom="column">
              <wp:posOffset>1169582</wp:posOffset>
            </wp:positionH>
            <wp:positionV relativeFrom="page">
              <wp:posOffset>5251893</wp:posOffset>
            </wp:positionV>
            <wp:extent cx="2856230" cy="3787775"/>
            <wp:effectExtent l="0" t="0" r="1270" b="3175"/>
            <wp:wrapThrough wrapText="bothSides">
              <wp:wrapPolygon edited="0">
                <wp:start x="0" y="0"/>
                <wp:lineTo x="0" y="21509"/>
                <wp:lineTo x="21466" y="21509"/>
                <wp:lineTo x="2146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230" cy="378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25C47" w14:textId="7B0C2D8C" w:rsidR="006F6902" w:rsidRDefault="006F6902"/>
    <w:p w14:paraId="1D3C4DEC" w14:textId="730C192C" w:rsidR="006F6902" w:rsidRPr="006F6902" w:rsidRDefault="006F6902" w:rsidP="006F6902"/>
    <w:p w14:paraId="322EB3B5" w14:textId="44B0F102" w:rsidR="006F6902" w:rsidRPr="006F6902" w:rsidRDefault="006F6902" w:rsidP="006F6902"/>
    <w:p w14:paraId="531AB3CA" w14:textId="427032F6" w:rsidR="006F6902" w:rsidRPr="006F6902" w:rsidRDefault="006F6902" w:rsidP="006F6902"/>
    <w:p w14:paraId="655FD464" w14:textId="2863F60B" w:rsidR="006F6902" w:rsidRPr="006F6902" w:rsidRDefault="006F6902" w:rsidP="006F6902"/>
    <w:p w14:paraId="1DE2C530" w14:textId="1FB376F7" w:rsidR="006F6902" w:rsidRPr="006F6902" w:rsidRDefault="006F6902" w:rsidP="006F6902"/>
    <w:p w14:paraId="42E7A1DF" w14:textId="4B39AE12" w:rsidR="006F6902" w:rsidRPr="006F6902" w:rsidRDefault="006F6902" w:rsidP="006F6902"/>
    <w:p w14:paraId="7ED7BC01" w14:textId="35547FE7" w:rsidR="006F6902" w:rsidRPr="006F6902" w:rsidRDefault="006F6902" w:rsidP="006F6902"/>
    <w:p w14:paraId="05BB9F68" w14:textId="09DF0E22" w:rsidR="006F6902" w:rsidRPr="006F6902" w:rsidRDefault="006F6902" w:rsidP="006F6902"/>
    <w:p w14:paraId="4D2DEE6A" w14:textId="76203DF5" w:rsidR="006F6902" w:rsidRPr="006F6902" w:rsidRDefault="006F6902" w:rsidP="006F6902"/>
    <w:p w14:paraId="4DF5DDF5" w14:textId="6C50E6E1" w:rsidR="006F6902" w:rsidRPr="006F6902" w:rsidRDefault="006F6902" w:rsidP="006F6902"/>
    <w:p w14:paraId="76B62EA3" w14:textId="46280871" w:rsidR="006F6902" w:rsidRPr="006F6902" w:rsidRDefault="006F6902" w:rsidP="006F6902"/>
    <w:p w14:paraId="08D8C02E" w14:textId="7E51521D" w:rsidR="006F6902" w:rsidRPr="006F6902" w:rsidRDefault="006F6902" w:rsidP="006F6902"/>
    <w:p w14:paraId="10C82597" w14:textId="6956B97E" w:rsidR="006F6902" w:rsidRPr="006F6902" w:rsidRDefault="006F6902" w:rsidP="006F6902"/>
    <w:p w14:paraId="3F16F3FC" w14:textId="6E9AE2E3" w:rsidR="006F6902" w:rsidRPr="006F6902" w:rsidRDefault="006F6902" w:rsidP="006F6902"/>
    <w:p w14:paraId="46FEFE39" w14:textId="3F6BAFF1" w:rsidR="006F6902" w:rsidRPr="006F6902" w:rsidRDefault="006F6902" w:rsidP="006F6902"/>
    <w:p w14:paraId="21498539" w14:textId="1C8898ED" w:rsidR="006F6902" w:rsidRPr="006F6902" w:rsidRDefault="006F6902" w:rsidP="006F6902"/>
    <w:p w14:paraId="3F5F7EEF" w14:textId="4D957190" w:rsidR="006F6902" w:rsidRPr="006F6902" w:rsidRDefault="006F6902" w:rsidP="006F6902"/>
    <w:p w14:paraId="793279E0" w14:textId="207A7B0A" w:rsidR="006F6902" w:rsidRPr="006F6902" w:rsidRDefault="006F6902" w:rsidP="006F6902"/>
    <w:p w14:paraId="15CF016E" w14:textId="4176A7C9" w:rsidR="006F6902" w:rsidRPr="006F6902" w:rsidRDefault="006F6902" w:rsidP="006F6902"/>
    <w:p w14:paraId="000FA729" w14:textId="738C7AE7" w:rsidR="006F6902" w:rsidRPr="006F6902" w:rsidRDefault="006F6902" w:rsidP="006F6902"/>
    <w:p w14:paraId="6F53D3CC" w14:textId="7DF12587" w:rsidR="006F6902" w:rsidRDefault="006F6902" w:rsidP="006F6902"/>
    <w:p w14:paraId="12208607" w14:textId="725224FA" w:rsidR="006F6902" w:rsidRPr="0095269F" w:rsidRDefault="006F6902" w:rsidP="006F6902">
      <w:pPr>
        <w:pStyle w:val="Default"/>
        <w:rPr>
          <w:color w:val="0070C0"/>
          <w:sz w:val="22"/>
          <w:szCs w:val="22"/>
        </w:rPr>
      </w:pPr>
      <w:r w:rsidRPr="0095269F">
        <w:rPr>
          <w:color w:val="0070C0"/>
          <w:sz w:val="22"/>
          <w:szCs w:val="22"/>
        </w:rPr>
        <w:t xml:space="preserve">Recommendations relative to the Accuracy of PCP Assignment: </w:t>
      </w:r>
    </w:p>
    <w:p w14:paraId="04C28540" w14:textId="78F25D0F" w:rsidR="006F6902" w:rsidRPr="0095269F" w:rsidRDefault="006F6902" w:rsidP="0095269F">
      <w:pPr>
        <w:pStyle w:val="ListParagraph"/>
        <w:numPr>
          <w:ilvl w:val="0"/>
          <w:numId w:val="4"/>
        </w:numPr>
        <w:autoSpaceDE w:val="0"/>
        <w:autoSpaceDN w:val="0"/>
        <w:adjustRightInd w:val="0"/>
        <w:spacing w:after="30"/>
        <w:rPr>
          <w:rFonts w:ascii="Calibri" w:hAnsi="Calibri" w:cs="Calibri"/>
          <w:color w:val="000000"/>
        </w:rPr>
      </w:pPr>
      <w:r w:rsidRPr="0095269F">
        <w:rPr>
          <w:rFonts w:ascii="Calibri" w:hAnsi="Calibri" w:cs="Calibri"/>
          <w:color w:val="000000"/>
        </w:rPr>
        <w:t xml:space="preserve">Develop a centralized location to post a sortable list of primary care providers who are accepting new patients, with specialty (pediatrics, family medicine, internal medicine, geriatrics) and practice location. Establish a process to keep it continually updated. Provide access to this information to admissions staff, ED registration staff, care managers, community partners, VNA staff, and other sites of care. </w:t>
      </w:r>
    </w:p>
    <w:p w14:paraId="357E9F66" w14:textId="2059CD2D" w:rsidR="006F6902" w:rsidRPr="0095269F" w:rsidRDefault="006F6902" w:rsidP="0095269F">
      <w:pPr>
        <w:pStyle w:val="ListParagraph"/>
        <w:numPr>
          <w:ilvl w:val="0"/>
          <w:numId w:val="4"/>
        </w:numPr>
        <w:autoSpaceDE w:val="0"/>
        <w:autoSpaceDN w:val="0"/>
        <w:adjustRightInd w:val="0"/>
        <w:spacing w:after="30"/>
        <w:rPr>
          <w:rFonts w:ascii="Calibri" w:hAnsi="Calibri" w:cs="Calibri"/>
          <w:color w:val="000000"/>
        </w:rPr>
      </w:pPr>
      <w:r w:rsidRPr="0095269F">
        <w:rPr>
          <w:rFonts w:ascii="Calibri" w:hAnsi="Calibri" w:cs="Calibri"/>
          <w:color w:val="000000"/>
        </w:rPr>
        <w:t xml:space="preserve">Develop a patient panel “look-up” function enabling verification of patient reported primary care provider with limited access to ED, admission staff, and others designated by BHS. </w:t>
      </w:r>
    </w:p>
    <w:p w14:paraId="55B5D9E7" w14:textId="21E2C157" w:rsidR="006F6902" w:rsidRPr="0095269F" w:rsidRDefault="006F6902" w:rsidP="0095269F">
      <w:pPr>
        <w:pStyle w:val="ListParagraph"/>
        <w:numPr>
          <w:ilvl w:val="0"/>
          <w:numId w:val="4"/>
        </w:numPr>
        <w:autoSpaceDE w:val="0"/>
        <w:autoSpaceDN w:val="0"/>
        <w:adjustRightInd w:val="0"/>
        <w:spacing w:after="30"/>
        <w:rPr>
          <w:rFonts w:ascii="Calibri" w:hAnsi="Calibri" w:cs="Calibri"/>
          <w:color w:val="000000"/>
        </w:rPr>
      </w:pPr>
      <w:r w:rsidRPr="0095269F">
        <w:rPr>
          <w:rFonts w:ascii="Calibri" w:hAnsi="Calibri" w:cs="Calibri"/>
          <w:color w:val="000000"/>
        </w:rPr>
        <w:t xml:space="preserve">Document a standardized process for making a primary care change including notification of the practice, insurance plans, and system administrators for relevant electronic platforms. (For example, if the patient is a Medicaid member in BFHC who changed their provider to a CHP primary care provider, the following notifications would be needed: MassHealth, Fallon Health Plan and BFHC for TruCare, CHP for Athena, MediTech Expanse Acute for the current visit/ admission.) </w:t>
      </w:r>
    </w:p>
    <w:p w14:paraId="3C75688E" w14:textId="1D7D7F9F" w:rsidR="006F6902" w:rsidRPr="0095269F" w:rsidRDefault="006F6902" w:rsidP="0095269F">
      <w:pPr>
        <w:pStyle w:val="ListParagraph"/>
        <w:numPr>
          <w:ilvl w:val="0"/>
          <w:numId w:val="4"/>
        </w:numPr>
        <w:autoSpaceDE w:val="0"/>
        <w:autoSpaceDN w:val="0"/>
        <w:adjustRightInd w:val="0"/>
        <w:rPr>
          <w:rFonts w:ascii="Calibri" w:hAnsi="Calibri" w:cs="Calibri"/>
          <w:color w:val="000000"/>
        </w:rPr>
      </w:pPr>
      <w:r w:rsidRPr="0095269F">
        <w:rPr>
          <w:rFonts w:ascii="Calibri" w:hAnsi="Calibri" w:cs="Calibri"/>
          <w:color w:val="000000"/>
        </w:rPr>
        <w:t xml:space="preserve">Ensure all patients entering the ED or being admitted are assigned a PCP by asking the patient, verifying the information with the practice/patient look-up system, or helping the patient select a PCP and completing the process of notifying the insurer and practice. Hospital should have access to an updated list of practices open to new patients. </w:t>
      </w:r>
    </w:p>
    <w:p w14:paraId="2739A5F4" w14:textId="4F66AA17" w:rsidR="006F6902" w:rsidRDefault="006F6902" w:rsidP="006F6902">
      <w:pPr>
        <w:tabs>
          <w:tab w:val="left" w:pos="1792"/>
        </w:tabs>
      </w:pPr>
    </w:p>
    <w:p w14:paraId="309816AA" w14:textId="55AA3739" w:rsidR="0095269F" w:rsidRDefault="0095269F" w:rsidP="006F6902">
      <w:pPr>
        <w:tabs>
          <w:tab w:val="left" w:pos="1792"/>
        </w:tabs>
      </w:pPr>
    </w:p>
    <w:p w14:paraId="7E1559C6" w14:textId="709E4678" w:rsidR="0095269F" w:rsidRPr="0095269F" w:rsidRDefault="0095269F" w:rsidP="006F6902">
      <w:pPr>
        <w:tabs>
          <w:tab w:val="left" w:pos="1792"/>
        </w:tabs>
        <w:rPr>
          <w:b/>
          <w:bCs/>
          <w:color w:val="0070C0"/>
          <w:sz w:val="23"/>
          <w:szCs w:val="23"/>
        </w:rPr>
      </w:pPr>
      <w:r w:rsidRPr="0095269F">
        <w:rPr>
          <w:b/>
          <w:bCs/>
          <w:color w:val="0070C0"/>
          <w:sz w:val="23"/>
          <w:szCs w:val="23"/>
        </w:rPr>
        <w:t>Transition of Care Workflow for Medical Patients Without PCPs</w:t>
      </w:r>
    </w:p>
    <w:p w14:paraId="03026A06" w14:textId="3FD878D8" w:rsidR="0095269F" w:rsidRDefault="0095269F" w:rsidP="006F6902">
      <w:pPr>
        <w:tabs>
          <w:tab w:val="left" w:pos="1792"/>
        </w:tabs>
        <w:rPr>
          <w:noProof/>
        </w:rPr>
      </w:pPr>
      <w:r>
        <w:rPr>
          <w:noProof/>
        </w:rPr>
        <w:drawing>
          <wp:inline distT="0" distB="0" distL="0" distR="0" wp14:anchorId="25FDE54D" wp14:editId="495AE9B7">
            <wp:extent cx="6220047" cy="3224003"/>
            <wp:effectExtent l="0" t="0" r="9525"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20"/>
                    <a:stretch>
                      <a:fillRect/>
                    </a:stretch>
                  </pic:blipFill>
                  <pic:spPr>
                    <a:xfrm>
                      <a:off x="0" y="0"/>
                      <a:ext cx="6228120" cy="3228188"/>
                    </a:xfrm>
                    <a:prstGeom prst="rect">
                      <a:avLst/>
                    </a:prstGeom>
                  </pic:spPr>
                </pic:pic>
              </a:graphicData>
            </a:graphic>
          </wp:inline>
        </w:drawing>
      </w:r>
    </w:p>
    <w:p w14:paraId="6EA0D7CC" w14:textId="322F1D07" w:rsidR="0095269F" w:rsidRPr="0095269F" w:rsidRDefault="0095269F" w:rsidP="0095269F"/>
    <w:p w14:paraId="456E576A" w14:textId="351C60F0" w:rsidR="0095269F" w:rsidRDefault="0095269F" w:rsidP="0095269F">
      <w:pPr>
        <w:rPr>
          <w:noProof/>
        </w:rPr>
      </w:pPr>
    </w:p>
    <w:p w14:paraId="31AAFE75" w14:textId="77777777" w:rsidR="0095269F" w:rsidRPr="0095269F" w:rsidRDefault="0095269F" w:rsidP="0095269F">
      <w:pPr>
        <w:pStyle w:val="ListParagraph"/>
        <w:numPr>
          <w:ilvl w:val="0"/>
          <w:numId w:val="14"/>
        </w:numPr>
        <w:autoSpaceDE w:val="0"/>
        <w:autoSpaceDN w:val="0"/>
        <w:adjustRightInd w:val="0"/>
        <w:rPr>
          <w:rFonts w:ascii="Calibri" w:hAnsi="Calibri" w:cs="Calibri"/>
          <w:color w:val="000000"/>
        </w:rPr>
      </w:pPr>
      <w:r w:rsidRPr="0095269F">
        <w:rPr>
          <w:rFonts w:ascii="Calibri" w:hAnsi="Calibri" w:cs="Calibri"/>
          <w:color w:val="000000"/>
        </w:rPr>
        <w:t xml:space="preserve">Upon admission or presentation to the ED, all patients are asked to identify their PCP and admission, or ED staff verify this with practice/patient look-up feature. </w:t>
      </w:r>
    </w:p>
    <w:p w14:paraId="07F0A0A1" w14:textId="3FEECCCD" w:rsidR="0095269F" w:rsidRPr="0095269F" w:rsidRDefault="0095269F" w:rsidP="0095269F">
      <w:pPr>
        <w:pStyle w:val="ListParagraph"/>
        <w:numPr>
          <w:ilvl w:val="0"/>
          <w:numId w:val="14"/>
        </w:numPr>
        <w:autoSpaceDE w:val="0"/>
        <w:autoSpaceDN w:val="0"/>
        <w:adjustRightInd w:val="0"/>
        <w:spacing w:after="30"/>
        <w:rPr>
          <w:rFonts w:ascii="Calibri" w:hAnsi="Calibri" w:cs="Calibri"/>
          <w:color w:val="000000"/>
        </w:rPr>
      </w:pPr>
      <w:r w:rsidRPr="0095269F">
        <w:rPr>
          <w:rFonts w:ascii="Calibri" w:hAnsi="Calibri" w:cs="Calibri"/>
          <w:color w:val="000000"/>
        </w:rPr>
        <w:t xml:space="preserve">If patient reported PCP is confirmed within the system, the provider is documented, and the admission or intake process continues </w:t>
      </w:r>
    </w:p>
    <w:p w14:paraId="354EF6F6" w14:textId="181F7D78" w:rsidR="0095269F" w:rsidRPr="0095269F" w:rsidRDefault="0095269F" w:rsidP="0095269F">
      <w:pPr>
        <w:pStyle w:val="ListParagraph"/>
        <w:numPr>
          <w:ilvl w:val="0"/>
          <w:numId w:val="14"/>
        </w:numPr>
        <w:autoSpaceDE w:val="0"/>
        <w:autoSpaceDN w:val="0"/>
        <w:adjustRightInd w:val="0"/>
        <w:spacing w:after="30"/>
        <w:rPr>
          <w:rFonts w:ascii="Calibri" w:hAnsi="Calibri" w:cs="Calibri"/>
          <w:color w:val="000000"/>
        </w:rPr>
      </w:pPr>
      <w:r w:rsidRPr="0095269F">
        <w:rPr>
          <w:rFonts w:ascii="Calibri" w:hAnsi="Calibri" w:cs="Calibri"/>
          <w:color w:val="000000"/>
        </w:rPr>
        <w:t xml:space="preserve">If a discrepancy is noted in the information provided, the patient is informed and corrected with information available, if possible (such as patient produces documentation from their provider), or a call is made to the providers to identify correct assignment </w:t>
      </w:r>
    </w:p>
    <w:p w14:paraId="3165173B" w14:textId="6236C225" w:rsidR="0095269F" w:rsidRPr="0095269F" w:rsidRDefault="0095269F" w:rsidP="0095269F">
      <w:pPr>
        <w:pStyle w:val="ListParagraph"/>
        <w:numPr>
          <w:ilvl w:val="0"/>
          <w:numId w:val="14"/>
        </w:numPr>
        <w:autoSpaceDE w:val="0"/>
        <w:autoSpaceDN w:val="0"/>
        <w:adjustRightInd w:val="0"/>
        <w:spacing w:after="30"/>
        <w:rPr>
          <w:rFonts w:ascii="Calibri" w:hAnsi="Calibri" w:cs="Calibri"/>
          <w:color w:val="000000"/>
        </w:rPr>
      </w:pPr>
      <w:r w:rsidRPr="0095269F">
        <w:rPr>
          <w:rFonts w:ascii="Calibri" w:hAnsi="Calibri" w:cs="Calibri"/>
          <w:color w:val="000000"/>
        </w:rPr>
        <w:t xml:space="preserve">If the patient states that they do not have a PCP, the patient is offered an appropriate provider accepting new patients who is located near their home or work. If acceptable to the patient, the process for making a primary care change is followed to ensure notification of all appropriate entities is completed. </w:t>
      </w:r>
    </w:p>
    <w:p w14:paraId="0E390070" w14:textId="10FC7E3E" w:rsidR="0095269F" w:rsidRPr="0095269F" w:rsidRDefault="0095269F" w:rsidP="0095269F">
      <w:pPr>
        <w:pStyle w:val="ListParagraph"/>
        <w:numPr>
          <w:ilvl w:val="0"/>
          <w:numId w:val="14"/>
        </w:numPr>
        <w:autoSpaceDE w:val="0"/>
        <w:autoSpaceDN w:val="0"/>
        <w:adjustRightInd w:val="0"/>
        <w:rPr>
          <w:rFonts w:ascii="Calibri" w:hAnsi="Calibri" w:cs="Calibri"/>
          <w:color w:val="000000"/>
        </w:rPr>
      </w:pPr>
      <w:r w:rsidRPr="0095269F">
        <w:rPr>
          <w:rFonts w:ascii="Calibri" w:hAnsi="Calibri" w:cs="Calibri"/>
          <w:color w:val="000000"/>
        </w:rPr>
        <w:t xml:space="preserve">If the patient states that they have a PCP, but do not plan to continue with their PCP, the process for making a primary care change is followed to ensure notification of all appropriate entities is completed, with special attention to the originally assigned PCP </w:t>
      </w:r>
    </w:p>
    <w:p w14:paraId="3BD27F89" w14:textId="77777777" w:rsidR="0095269F" w:rsidRPr="0095269F" w:rsidRDefault="0095269F" w:rsidP="0095269F">
      <w:pPr>
        <w:autoSpaceDE w:val="0"/>
        <w:autoSpaceDN w:val="0"/>
        <w:adjustRightInd w:val="0"/>
        <w:rPr>
          <w:rFonts w:ascii="Calibri" w:hAnsi="Calibri" w:cs="Calibri"/>
          <w:color w:val="000000"/>
        </w:rPr>
      </w:pPr>
    </w:p>
    <w:p w14:paraId="1573831D" w14:textId="77777777" w:rsidR="0095269F" w:rsidRPr="0095269F" w:rsidRDefault="0095269F" w:rsidP="0095269F">
      <w:pPr>
        <w:pStyle w:val="ListParagraph"/>
        <w:numPr>
          <w:ilvl w:val="0"/>
          <w:numId w:val="14"/>
        </w:numPr>
        <w:autoSpaceDE w:val="0"/>
        <w:autoSpaceDN w:val="0"/>
        <w:adjustRightInd w:val="0"/>
        <w:rPr>
          <w:rFonts w:ascii="Calibri" w:hAnsi="Calibri" w:cs="Calibri"/>
          <w:color w:val="000000"/>
        </w:rPr>
      </w:pPr>
      <w:r w:rsidRPr="0095269F">
        <w:rPr>
          <w:rFonts w:ascii="Calibri" w:hAnsi="Calibri" w:cs="Calibri"/>
          <w:color w:val="000000"/>
        </w:rPr>
        <w:t xml:space="preserve">Once primary care provider has been confirmed, notify of current ED visit or admission, and follow the appropriate TOC process. </w:t>
      </w:r>
    </w:p>
    <w:p w14:paraId="0B79A8EF" w14:textId="5C0A6D91" w:rsidR="0095269F" w:rsidRPr="0095269F" w:rsidRDefault="0095269F" w:rsidP="0095269F">
      <w:pPr>
        <w:pStyle w:val="ListParagraph"/>
        <w:numPr>
          <w:ilvl w:val="0"/>
          <w:numId w:val="14"/>
        </w:numPr>
        <w:autoSpaceDE w:val="0"/>
        <w:autoSpaceDN w:val="0"/>
        <w:adjustRightInd w:val="0"/>
        <w:rPr>
          <w:rFonts w:ascii="Calibri" w:hAnsi="Calibri" w:cs="Calibri"/>
          <w:color w:val="000000"/>
        </w:rPr>
      </w:pPr>
      <w:r w:rsidRPr="0095269F">
        <w:rPr>
          <w:rFonts w:ascii="Calibri" w:hAnsi="Calibri" w:cs="Calibri"/>
          <w:color w:val="000000"/>
        </w:rPr>
        <w:t xml:space="preserve">Formalize a process whereby the practice reaches out to the patient within 24 hours of discharge from the ED to cultivate the new patient relationship, schedule a timely new patient visit appropriate to patient need, and address follow-up care needs. </w:t>
      </w:r>
    </w:p>
    <w:p w14:paraId="1CBFB274" w14:textId="462396A6" w:rsidR="0095269F" w:rsidRDefault="0095269F" w:rsidP="0095269F"/>
    <w:p w14:paraId="5E574255" w14:textId="5498A386" w:rsidR="0095269F" w:rsidRDefault="0095269F" w:rsidP="0095269F"/>
    <w:p w14:paraId="4A34A8DD" w14:textId="77777777" w:rsidR="0095269F" w:rsidRPr="0095269F" w:rsidRDefault="0095269F" w:rsidP="0095269F">
      <w:pPr>
        <w:autoSpaceDE w:val="0"/>
        <w:autoSpaceDN w:val="0"/>
        <w:adjustRightInd w:val="0"/>
        <w:rPr>
          <w:rFonts w:ascii="Calibri" w:hAnsi="Calibri" w:cs="Calibri"/>
          <w:color w:val="0070C0"/>
        </w:rPr>
      </w:pPr>
      <w:r w:rsidRPr="0095269F">
        <w:rPr>
          <w:rFonts w:ascii="Calibri" w:hAnsi="Calibri" w:cs="Calibri"/>
          <w:color w:val="0070C0"/>
        </w:rPr>
        <w:t xml:space="preserve">Recommendations relative to the Release of Information: </w:t>
      </w:r>
    </w:p>
    <w:p w14:paraId="613F10FB" w14:textId="42CD56D4" w:rsidR="0095269F" w:rsidRPr="0095269F" w:rsidRDefault="0095269F" w:rsidP="0095269F">
      <w:pPr>
        <w:pStyle w:val="ListParagraph"/>
        <w:numPr>
          <w:ilvl w:val="0"/>
          <w:numId w:val="14"/>
        </w:numPr>
        <w:autoSpaceDE w:val="0"/>
        <w:autoSpaceDN w:val="0"/>
        <w:adjustRightInd w:val="0"/>
        <w:spacing w:after="28"/>
        <w:rPr>
          <w:rFonts w:ascii="Calibri" w:hAnsi="Calibri" w:cs="Calibri"/>
          <w:color w:val="000000"/>
        </w:rPr>
      </w:pPr>
      <w:r w:rsidRPr="0095269F">
        <w:rPr>
          <w:rFonts w:ascii="Calibri" w:hAnsi="Calibri" w:cs="Calibri"/>
          <w:color w:val="000000"/>
        </w:rPr>
        <w:t xml:space="preserve">Ensure ROI is signed by patient prior to discharge to share information with the PCP, BFHC, CP, and other providers involved in the patient’s care. </w:t>
      </w:r>
    </w:p>
    <w:p w14:paraId="4B7B6033" w14:textId="61FED392" w:rsidR="0095269F" w:rsidRPr="0095269F" w:rsidRDefault="0095269F" w:rsidP="0095269F">
      <w:pPr>
        <w:pStyle w:val="ListParagraph"/>
        <w:numPr>
          <w:ilvl w:val="0"/>
          <w:numId w:val="14"/>
        </w:numPr>
        <w:autoSpaceDE w:val="0"/>
        <w:autoSpaceDN w:val="0"/>
        <w:adjustRightInd w:val="0"/>
        <w:rPr>
          <w:rFonts w:ascii="Calibri" w:hAnsi="Calibri" w:cs="Calibri"/>
          <w:color w:val="000000"/>
        </w:rPr>
      </w:pPr>
      <w:r w:rsidRPr="0095269F">
        <w:rPr>
          <w:rFonts w:ascii="Calibri" w:hAnsi="Calibri" w:cs="Calibri"/>
          <w:color w:val="000000"/>
        </w:rPr>
        <w:t xml:space="preserve">Implement a ROI Campaign implementation system-wide – HMA recommends development of an organized, consistent approach to patient education at every level of the BHS system including scripts to guide staff in obtaining and documenting consent to care management and release of information to care managers and primary care. Patient education could center on the benefits of information sharing to enhancing care, the protections in place to protect their information, and the importance to patient safety. Standardized messages in the form of talking points should be delivered at every interaction with the system – reinforced by primary care, outpatient services, ED, and admissions. Dedicated effort of the staff of McGee to obtain ROI/releases for BFHC, BHCP, and primary care as part of admission process and communication of the ROI to appropriate parties would facilitate communication and make services immediately available for the member, including timely transition of care calls and follow-up visits. </w:t>
      </w:r>
    </w:p>
    <w:p w14:paraId="7EC6340D" w14:textId="27F2F0F4" w:rsidR="0095269F" w:rsidRDefault="0095269F" w:rsidP="0095269F"/>
    <w:p w14:paraId="2E1276AB" w14:textId="155F472E" w:rsidR="0095269F" w:rsidRDefault="0095269F" w:rsidP="0095269F"/>
    <w:p w14:paraId="32007E43" w14:textId="77777777" w:rsidR="0095269F" w:rsidRPr="0095269F" w:rsidRDefault="0095269F" w:rsidP="0095269F">
      <w:pPr>
        <w:autoSpaceDE w:val="0"/>
        <w:autoSpaceDN w:val="0"/>
        <w:adjustRightInd w:val="0"/>
        <w:rPr>
          <w:rFonts w:ascii="Calibri" w:hAnsi="Calibri" w:cs="Calibri"/>
          <w:b/>
          <w:bCs/>
          <w:color w:val="0070C0"/>
        </w:rPr>
      </w:pPr>
      <w:r w:rsidRPr="0095269F">
        <w:rPr>
          <w:rFonts w:ascii="Calibri" w:hAnsi="Calibri" w:cs="Calibri"/>
          <w:b/>
          <w:bCs/>
          <w:color w:val="0070C0"/>
        </w:rPr>
        <w:t xml:space="preserve">Transition of Care Workflow for Patients with SUD </w:t>
      </w:r>
    </w:p>
    <w:p w14:paraId="57F8B112" w14:textId="77777777" w:rsidR="0095269F" w:rsidRPr="0095269F" w:rsidRDefault="0095269F" w:rsidP="0095269F">
      <w:pPr>
        <w:autoSpaceDE w:val="0"/>
        <w:autoSpaceDN w:val="0"/>
        <w:adjustRightInd w:val="0"/>
        <w:rPr>
          <w:rFonts w:ascii="Calibri" w:hAnsi="Calibri" w:cs="Calibri"/>
          <w:color w:val="000000"/>
        </w:rPr>
      </w:pPr>
      <w:r w:rsidRPr="0095269F">
        <w:rPr>
          <w:rFonts w:ascii="Calibri" w:hAnsi="Calibri" w:cs="Calibri"/>
          <w:color w:val="000000"/>
        </w:rPr>
        <w:t xml:space="preserve">The biggest barrier to effective transitions of care for patients discharged with substance use disorder is lack of signed release of information forms limiting timely notification and information flow to outpatient providers and care managers. </w:t>
      </w:r>
    </w:p>
    <w:p w14:paraId="57E89650" w14:textId="77777777" w:rsidR="0095269F" w:rsidRDefault="0095269F" w:rsidP="0095269F">
      <w:pPr>
        <w:autoSpaceDE w:val="0"/>
        <w:autoSpaceDN w:val="0"/>
        <w:adjustRightInd w:val="0"/>
        <w:rPr>
          <w:rFonts w:ascii="Calibri" w:hAnsi="Calibri" w:cs="Calibri"/>
          <w:color w:val="000000"/>
        </w:rPr>
      </w:pPr>
    </w:p>
    <w:p w14:paraId="033A6703" w14:textId="6EA2000B" w:rsidR="0095269F" w:rsidRDefault="0095269F" w:rsidP="0095269F">
      <w:pPr>
        <w:autoSpaceDE w:val="0"/>
        <w:autoSpaceDN w:val="0"/>
        <w:adjustRightInd w:val="0"/>
        <w:rPr>
          <w:rFonts w:ascii="Calibri" w:hAnsi="Calibri" w:cs="Calibri"/>
        </w:rPr>
      </w:pPr>
      <w:r w:rsidRPr="0095269F">
        <w:rPr>
          <w:rFonts w:ascii="Calibri" w:hAnsi="Calibri" w:cs="Calibri"/>
          <w:color w:val="000000"/>
        </w:rPr>
        <w:t xml:space="preserve">An community-wide opportunity exists to build trust through education of providers, patients, and the community to the benefits of information sharing, the protections in place to maintain the </w:t>
      </w:r>
      <w:r w:rsidRPr="0095269F">
        <w:rPr>
          <w:rFonts w:ascii="Calibri" w:hAnsi="Calibri" w:cs="Calibri"/>
        </w:rPr>
        <w:t>confidentiality of health information – including SUD, the importance of seeking treatment for addiction, and value of these efforts to the community.</w:t>
      </w:r>
    </w:p>
    <w:p w14:paraId="06878211" w14:textId="17958079" w:rsidR="0095269F" w:rsidRDefault="0095269F" w:rsidP="0095269F">
      <w:pPr>
        <w:autoSpaceDE w:val="0"/>
        <w:autoSpaceDN w:val="0"/>
        <w:adjustRightInd w:val="0"/>
        <w:rPr>
          <w:rFonts w:ascii="Calibri" w:hAnsi="Calibri" w:cs="Calibri"/>
        </w:rPr>
      </w:pPr>
    </w:p>
    <w:p w14:paraId="5D6E6192" w14:textId="241DD0D4" w:rsidR="0095269F" w:rsidRDefault="0095269F" w:rsidP="0095269F">
      <w:pPr>
        <w:autoSpaceDE w:val="0"/>
        <w:autoSpaceDN w:val="0"/>
        <w:adjustRightInd w:val="0"/>
        <w:rPr>
          <w:noProof/>
        </w:rPr>
      </w:pPr>
      <w:r>
        <w:rPr>
          <w:noProof/>
        </w:rPr>
        <w:drawing>
          <wp:inline distT="0" distB="0" distL="0" distR="0" wp14:anchorId="492E5497" wp14:editId="43E0DA27">
            <wp:extent cx="5443870" cy="3261958"/>
            <wp:effectExtent l="0" t="0" r="4445"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21"/>
                    <a:stretch>
                      <a:fillRect/>
                    </a:stretch>
                  </pic:blipFill>
                  <pic:spPr>
                    <a:xfrm>
                      <a:off x="0" y="0"/>
                      <a:ext cx="5451303" cy="3266412"/>
                    </a:xfrm>
                    <a:prstGeom prst="rect">
                      <a:avLst/>
                    </a:prstGeom>
                  </pic:spPr>
                </pic:pic>
              </a:graphicData>
            </a:graphic>
          </wp:inline>
        </w:drawing>
      </w:r>
    </w:p>
    <w:p w14:paraId="26E11382" w14:textId="55929ACE" w:rsidR="0095269F" w:rsidRPr="0095269F" w:rsidRDefault="0095269F" w:rsidP="0095269F"/>
    <w:p w14:paraId="4B426FEF" w14:textId="77777777" w:rsidR="0095269F" w:rsidRDefault="0095269F" w:rsidP="0095269F">
      <w:pPr>
        <w:autoSpaceDE w:val="0"/>
        <w:autoSpaceDN w:val="0"/>
        <w:adjustRightInd w:val="0"/>
        <w:spacing w:after="18"/>
        <w:rPr>
          <w:rFonts w:ascii="Calibri" w:hAnsi="Calibri" w:cs="Calibri"/>
          <w:color w:val="000000"/>
        </w:rPr>
      </w:pPr>
      <w:r>
        <w:rPr>
          <w:rFonts w:ascii="Calibri" w:hAnsi="Calibri" w:cs="Calibri"/>
          <w:color w:val="000000"/>
        </w:rPr>
        <w:t>Workflow Detail</w:t>
      </w:r>
    </w:p>
    <w:p w14:paraId="4E0B4515" w14:textId="616BF55B" w:rsidR="0095269F" w:rsidRPr="0095269F" w:rsidRDefault="0095269F" w:rsidP="0095269F">
      <w:pPr>
        <w:pStyle w:val="ListParagraph"/>
        <w:numPr>
          <w:ilvl w:val="0"/>
          <w:numId w:val="19"/>
        </w:numPr>
        <w:autoSpaceDE w:val="0"/>
        <w:autoSpaceDN w:val="0"/>
        <w:adjustRightInd w:val="0"/>
        <w:spacing w:after="18"/>
        <w:rPr>
          <w:rFonts w:ascii="Calibri" w:hAnsi="Calibri" w:cs="Calibri"/>
          <w:color w:val="000000"/>
        </w:rPr>
      </w:pPr>
      <w:r w:rsidRPr="0095269F">
        <w:rPr>
          <w:rFonts w:ascii="Calibri" w:hAnsi="Calibri" w:cs="Calibri"/>
          <w:color w:val="000000"/>
        </w:rPr>
        <w:t xml:space="preserve">Prior to admission, all patients are provided information about the value of information sharing (Patient Information brochure including talking points referenced above) and a copy of the ROI form along with recommendation that they consider releasing information to all of their healthcare providers, including their primary care provider, primary therapist, specialist, BFHC, CP, and any other provider – tailored to the patient. This information should be mailed to every patient with a scheduled admission and reinforced by all healthcare providers. Provide an option for those with on-line documentation capability to upload completed forms. </w:t>
      </w:r>
    </w:p>
    <w:p w14:paraId="21661245" w14:textId="4460ACE1" w:rsidR="0095269F" w:rsidRDefault="0095269F" w:rsidP="0095269F">
      <w:pPr>
        <w:numPr>
          <w:ilvl w:val="0"/>
          <w:numId w:val="19"/>
        </w:numPr>
        <w:autoSpaceDE w:val="0"/>
        <w:autoSpaceDN w:val="0"/>
        <w:adjustRightInd w:val="0"/>
        <w:spacing w:after="18"/>
        <w:rPr>
          <w:rFonts w:ascii="Calibri" w:hAnsi="Calibri" w:cs="Calibri"/>
          <w:color w:val="000000"/>
        </w:rPr>
      </w:pPr>
      <w:r w:rsidRPr="0095269F">
        <w:rPr>
          <w:rFonts w:ascii="Calibri" w:hAnsi="Calibri" w:cs="Calibri"/>
          <w:color w:val="000000"/>
        </w:rPr>
        <w:t xml:space="preserve">At admission, all patients, whether scheduled or not scheduled, should be provided information about the value of information sharing (Patient Information brochure including talking points referenced above) and a copy of the ROI. Admissions staff should provide patient education regarding the importance and value of releasing information, privacy protections, etc. and ask the patient if they would be willing to sign the ROI form. a. A designated location in the EHR should be implemented to capture ROIs signed with appropriate detail such as parties authorized and dates of validity. </w:t>
      </w:r>
    </w:p>
    <w:p w14:paraId="318F8F67" w14:textId="77777777" w:rsidR="0095269F" w:rsidRDefault="0095269F" w:rsidP="0095269F">
      <w:pPr>
        <w:numPr>
          <w:ilvl w:val="0"/>
          <w:numId w:val="19"/>
        </w:numPr>
        <w:autoSpaceDE w:val="0"/>
        <w:autoSpaceDN w:val="0"/>
        <w:adjustRightInd w:val="0"/>
        <w:spacing w:after="18"/>
        <w:rPr>
          <w:rFonts w:ascii="Calibri" w:hAnsi="Calibri" w:cs="Calibri"/>
          <w:color w:val="000000"/>
        </w:rPr>
      </w:pPr>
      <w:r w:rsidRPr="0095269F">
        <w:rPr>
          <w:rFonts w:ascii="Calibri" w:hAnsi="Calibri" w:cs="Calibri"/>
          <w:color w:val="000000"/>
        </w:rPr>
        <w:t xml:space="preserve">Admissions / ED registration staff should document completion of ROI and upload the signed form. </w:t>
      </w:r>
    </w:p>
    <w:p w14:paraId="20888CF9" w14:textId="77777777" w:rsidR="0095269F" w:rsidRDefault="0095269F" w:rsidP="0095269F">
      <w:pPr>
        <w:numPr>
          <w:ilvl w:val="0"/>
          <w:numId w:val="19"/>
        </w:numPr>
        <w:autoSpaceDE w:val="0"/>
        <w:autoSpaceDN w:val="0"/>
        <w:adjustRightInd w:val="0"/>
        <w:spacing w:after="18"/>
        <w:rPr>
          <w:rFonts w:ascii="Calibri" w:hAnsi="Calibri" w:cs="Calibri"/>
          <w:color w:val="000000"/>
        </w:rPr>
      </w:pPr>
      <w:r w:rsidRPr="0095269F">
        <w:rPr>
          <w:rFonts w:ascii="Calibri" w:hAnsi="Calibri" w:cs="Calibri"/>
          <w:color w:val="000000"/>
        </w:rPr>
        <w:t>During admission, patients should receive similar messages based on talking points and be encouraged to consider sharing information if they have not yet signed the ROI. a. Inpatient CM should encourage signing of ROI and document completion of ROI and upload the signed form.</w:t>
      </w:r>
    </w:p>
    <w:p w14:paraId="01FBA542" w14:textId="77777777" w:rsidR="0095269F" w:rsidRDefault="0095269F" w:rsidP="0095269F">
      <w:pPr>
        <w:numPr>
          <w:ilvl w:val="0"/>
          <w:numId w:val="19"/>
        </w:numPr>
        <w:autoSpaceDE w:val="0"/>
        <w:autoSpaceDN w:val="0"/>
        <w:adjustRightInd w:val="0"/>
        <w:spacing w:after="18"/>
        <w:rPr>
          <w:rFonts w:ascii="Calibri" w:hAnsi="Calibri" w:cs="Calibri"/>
          <w:color w:val="000000"/>
        </w:rPr>
      </w:pPr>
      <w:r w:rsidRPr="0095269F">
        <w:rPr>
          <w:rFonts w:ascii="Calibri" w:hAnsi="Calibri" w:cs="Calibri"/>
          <w:color w:val="000000"/>
        </w:rPr>
        <w:t xml:space="preserve">At discharge, the inpatient CM or discharging nurse should conduct discharge teaching and revisit the importance of sharing information with the members of the patient’s care team, including primary care provider, primary therapist, specialist, BFHC, CP, and any other provider who are part of their discharge plan. a. Staff should document completion of ROI and upload the signed form. </w:t>
      </w:r>
    </w:p>
    <w:p w14:paraId="13DCC568" w14:textId="2559D2E0" w:rsidR="0095269F" w:rsidRPr="0095269F" w:rsidRDefault="0095269F" w:rsidP="0095269F">
      <w:pPr>
        <w:numPr>
          <w:ilvl w:val="0"/>
          <w:numId w:val="19"/>
        </w:numPr>
        <w:autoSpaceDE w:val="0"/>
        <w:autoSpaceDN w:val="0"/>
        <w:adjustRightInd w:val="0"/>
        <w:spacing w:after="18"/>
        <w:rPr>
          <w:rFonts w:ascii="Calibri" w:hAnsi="Calibri" w:cs="Calibri"/>
          <w:color w:val="000000"/>
        </w:rPr>
      </w:pPr>
      <w:r w:rsidRPr="0095269F">
        <w:rPr>
          <w:rFonts w:ascii="Calibri" w:hAnsi="Calibri" w:cs="Calibri"/>
          <w:color w:val="000000"/>
        </w:rPr>
        <w:t xml:space="preserve">Electronic entry of signed ROI should trigger notification of authorized healthcare providers and allow download of the signed ROI form into their systems. a. Upon notification, follow TOC protocol with BHCP likely taking the lead in coordinating substance use disorder treatment and supportive services </w:t>
      </w:r>
    </w:p>
    <w:p w14:paraId="178DEB0B" w14:textId="77777777" w:rsidR="0095269F" w:rsidRPr="0095269F" w:rsidRDefault="0095269F" w:rsidP="0095269F">
      <w:pPr>
        <w:numPr>
          <w:ilvl w:val="1"/>
          <w:numId w:val="17"/>
        </w:numPr>
        <w:autoSpaceDE w:val="0"/>
        <w:autoSpaceDN w:val="0"/>
        <w:adjustRightInd w:val="0"/>
        <w:rPr>
          <w:rFonts w:ascii="Calibri" w:hAnsi="Calibri" w:cs="Calibri"/>
          <w:color w:val="000000"/>
        </w:rPr>
      </w:pPr>
    </w:p>
    <w:p w14:paraId="282AB417" w14:textId="638193E2" w:rsidR="0095269F" w:rsidRDefault="0095269F" w:rsidP="0095269F">
      <w:pPr>
        <w:tabs>
          <w:tab w:val="left" w:pos="1005"/>
        </w:tabs>
      </w:pPr>
    </w:p>
    <w:p w14:paraId="7257A9A4" w14:textId="77777777" w:rsidR="00FF2598" w:rsidRPr="00FF2598" w:rsidRDefault="00FF2598" w:rsidP="00FF2598">
      <w:pPr>
        <w:autoSpaceDE w:val="0"/>
        <w:autoSpaceDN w:val="0"/>
        <w:adjustRightInd w:val="0"/>
        <w:rPr>
          <w:rFonts w:ascii="Calibri" w:hAnsi="Calibri" w:cs="Calibri"/>
          <w:b/>
          <w:bCs/>
          <w:color w:val="0070C0"/>
        </w:rPr>
      </w:pPr>
      <w:r w:rsidRPr="00FF2598">
        <w:rPr>
          <w:rFonts w:ascii="Calibri" w:hAnsi="Calibri" w:cs="Calibri"/>
          <w:b/>
          <w:bCs/>
          <w:color w:val="0070C0"/>
        </w:rPr>
        <w:t xml:space="preserve">Protocols with Metrics and Standards for TOC Calls </w:t>
      </w:r>
    </w:p>
    <w:p w14:paraId="2813E1A1" w14:textId="77777777" w:rsidR="00FF2598" w:rsidRPr="00FF2598" w:rsidRDefault="00FF2598" w:rsidP="00FF2598">
      <w:pPr>
        <w:autoSpaceDE w:val="0"/>
        <w:autoSpaceDN w:val="0"/>
        <w:adjustRightInd w:val="0"/>
        <w:rPr>
          <w:rFonts w:ascii="Calibri" w:hAnsi="Calibri" w:cs="Calibri"/>
          <w:b/>
          <w:bCs/>
          <w:color w:val="0070C0"/>
        </w:rPr>
      </w:pPr>
      <w:r w:rsidRPr="00FF2598">
        <w:rPr>
          <w:rFonts w:ascii="Calibri" w:hAnsi="Calibri" w:cs="Calibri"/>
          <w:b/>
          <w:bCs/>
          <w:color w:val="0070C0"/>
        </w:rPr>
        <w:t xml:space="preserve">Performance Assessment Tool </w:t>
      </w:r>
    </w:p>
    <w:p w14:paraId="1DC3AA71" w14:textId="77777777" w:rsidR="00FF2598" w:rsidRPr="00FF2598" w:rsidRDefault="00FF2598" w:rsidP="00FF2598">
      <w:pPr>
        <w:autoSpaceDE w:val="0"/>
        <w:autoSpaceDN w:val="0"/>
        <w:adjustRightInd w:val="0"/>
        <w:rPr>
          <w:rFonts w:ascii="Calibri" w:hAnsi="Calibri" w:cs="Calibri"/>
          <w:color w:val="000000"/>
        </w:rPr>
      </w:pPr>
      <w:r w:rsidRPr="00FF2598">
        <w:rPr>
          <w:rFonts w:ascii="Calibri" w:hAnsi="Calibri" w:cs="Calibri"/>
          <w:color w:val="000000"/>
        </w:rPr>
        <w:t xml:space="preserve">The protocols, metrics, and standards required to support a Continuous Quality Improvement process relative to post discharge transitions of care should have a primary goal of answering three questions under a transitional care management strategy: </w:t>
      </w:r>
    </w:p>
    <w:p w14:paraId="766E796E" w14:textId="0C0914DB" w:rsidR="00FF2598" w:rsidRPr="00FF2598" w:rsidRDefault="00FF2598" w:rsidP="00FF2598">
      <w:pPr>
        <w:pStyle w:val="ListParagraph"/>
        <w:numPr>
          <w:ilvl w:val="0"/>
          <w:numId w:val="23"/>
        </w:numPr>
        <w:autoSpaceDE w:val="0"/>
        <w:autoSpaceDN w:val="0"/>
        <w:adjustRightInd w:val="0"/>
        <w:rPr>
          <w:rFonts w:ascii="Calibri" w:hAnsi="Calibri" w:cs="Calibri"/>
          <w:color w:val="000000"/>
        </w:rPr>
      </w:pPr>
      <w:r w:rsidRPr="00FF2598">
        <w:rPr>
          <w:rFonts w:ascii="Calibri" w:hAnsi="Calibri" w:cs="Calibri"/>
          <w:color w:val="000000"/>
        </w:rPr>
        <w:t xml:space="preserve">How well are we managing transitions to home? a. Set a benchmark goal based on best practice &amp; past performance to set reasonable target and measure against it </w:t>
      </w:r>
    </w:p>
    <w:p w14:paraId="07355CA3" w14:textId="77777777" w:rsidR="00FF2598" w:rsidRPr="00FF2598" w:rsidRDefault="00FF2598" w:rsidP="00FF2598">
      <w:pPr>
        <w:autoSpaceDE w:val="0"/>
        <w:autoSpaceDN w:val="0"/>
        <w:adjustRightInd w:val="0"/>
        <w:rPr>
          <w:rFonts w:ascii="Calibri" w:hAnsi="Calibri" w:cs="Calibri"/>
          <w:color w:val="000000"/>
        </w:rPr>
      </w:pPr>
    </w:p>
    <w:p w14:paraId="252F8D71" w14:textId="38E6DCF9" w:rsidR="00FF2598" w:rsidRPr="00FF2598" w:rsidRDefault="00FF2598" w:rsidP="00FF2598">
      <w:pPr>
        <w:pStyle w:val="ListParagraph"/>
        <w:numPr>
          <w:ilvl w:val="0"/>
          <w:numId w:val="23"/>
        </w:numPr>
        <w:autoSpaceDE w:val="0"/>
        <w:autoSpaceDN w:val="0"/>
        <w:adjustRightInd w:val="0"/>
        <w:rPr>
          <w:rFonts w:ascii="Calibri" w:hAnsi="Calibri" w:cs="Calibri"/>
          <w:color w:val="000000"/>
        </w:rPr>
      </w:pPr>
      <w:r w:rsidRPr="00FF2598">
        <w:rPr>
          <w:rFonts w:ascii="Calibri" w:hAnsi="Calibri" w:cs="Calibri"/>
          <w:color w:val="000000"/>
        </w:rPr>
        <w:t xml:space="preserve">Where are we not applying best practices to prevent readmissions? a. What interventions are not being applied well or not preventing readmissions </w:t>
      </w:r>
    </w:p>
    <w:p w14:paraId="2C51F2AE" w14:textId="77777777" w:rsidR="00FF2598" w:rsidRPr="00FF2598" w:rsidRDefault="00FF2598" w:rsidP="00FF2598">
      <w:pPr>
        <w:autoSpaceDE w:val="0"/>
        <w:autoSpaceDN w:val="0"/>
        <w:adjustRightInd w:val="0"/>
        <w:rPr>
          <w:rFonts w:ascii="Calibri" w:hAnsi="Calibri" w:cs="Calibri"/>
          <w:color w:val="000000"/>
        </w:rPr>
      </w:pPr>
    </w:p>
    <w:p w14:paraId="5ED7D3C0" w14:textId="4A03E38D" w:rsidR="00FF2598" w:rsidRPr="00FF2598" w:rsidRDefault="00FF2598" w:rsidP="00FF2598">
      <w:pPr>
        <w:pStyle w:val="ListParagraph"/>
        <w:numPr>
          <w:ilvl w:val="0"/>
          <w:numId w:val="23"/>
        </w:numPr>
        <w:autoSpaceDE w:val="0"/>
        <w:autoSpaceDN w:val="0"/>
        <w:adjustRightInd w:val="0"/>
        <w:rPr>
          <w:rFonts w:ascii="Calibri" w:hAnsi="Calibri" w:cs="Calibri"/>
          <w:color w:val="000000"/>
        </w:rPr>
      </w:pPr>
      <w:r w:rsidRPr="00FF2598">
        <w:rPr>
          <w:rFonts w:ascii="Calibri" w:hAnsi="Calibri" w:cs="Calibri"/>
          <w:color w:val="000000"/>
        </w:rPr>
        <w:t xml:space="preserve">Where do we need more resources focused to prevent readmissions? a. Do we need Training, Staffing, IT, Deeper Analytics, etc. </w:t>
      </w:r>
    </w:p>
    <w:p w14:paraId="18E36516" w14:textId="77777777" w:rsidR="00FF2598" w:rsidRPr="00FF2598" w:rsidRDefault="00FF2598" w:rsidP="00FF2598">
      <w:pPr>
        <w:numPr>
          <w:ilvl w:val="1"/>
          <w:numId w:val="22"/>
        </w:numPr>
        <w:autoSpaceDE w:val="0"/>
        <w:autoSpaceDN w:val="0"/>
        <w:adjustRightInd w:val="0"/>
        <w:rPr>
          <w:rFonts w:ascii="Calibri" w:hAnsi="Calibri" w:cs="Calibri"/>
          <w:color w:val="000000"/>
        </w:rPr>
      </w:pPr>
    </w:p>
    <w:p w14:paraId="1AFFCDEF" w14:textId="683CFFB5" w:rsidR="00FF2598" w:rsidRDefault="00FF2598" w:rsidP="00FF2598">
      <w:pPr>
        <w:autoSpaceDE w:val="0"/>
        <w:autoSpaceDN w:val="0"/>
        <w:adjustRightInd w:val="0"/>
        <w:rPr>
          <w:rFonts w:ascii="Calibri" w:hAnsi="Calibri" w:cs="Calibri"/>
          <w:color w:val="000000"/>
        </w:rPr>
      </w:pPr>
      <w:r w:rsidRPr="00FF2598">
        <w:rPr>
          <w:rFonts w:ascii="Calibri" w:hAnsi="Calibri" w:cs="Calibri"/>
          <w:color w:val="000000"/>
        </w:rPr>
        <w:t xml:space="preserve">These questions require a comprehensive analytic model that is derived from workflow elements and an IT infrastructure designed to track key interventions such as post discharge calls. The sample performance assessment tool below is designed to measure global outcomes, best practice workflow elements, and to provide deeper insights to inform operational enhancements to improve outcomes. </w:t>
      </w:r>
    </w:p>
    <w:p w14:paraId="072AA703" w14:textId="0A55D2EB" w:rsidR="00FF2598" w:rsidRDefault="00FF2598" w:rsidP="00FF2598">
      <w:pPr>
        <w:autoSpaceDE w:val="0"/>
        <w:autoSpaceDN w:val="0"/>
        <w:adjustRightInd w:val="0"/>
        <w:rPr>
          <w:rFonts w:ascii="Calibri" w:hAnsi="Calibri" w:cs="Calibri"/>
          <w:color w:val="000000"/>
        </w:rPr>
      </w:pPr>
    </w:p>
    <w:p w14:paraId="3101027F" w14:textId="37AA9C50" w:rsidR="00FF2598" w:rsidRDefault="00FF2598" w:rsidP="00FF2598">
      <w:pPr>
        <w:autoSpaceDE w:val="0"/>
        <w:autoSpaceDN w:val="0"/>
        <w:adjustRightInd w:val="0"/>
        <w:rPr>
          <w:rFonts w:ascii="Calibri" w:hAnsi="Calibri" w:cs="Calibri"/>
          <w:b/>
          <w:bCs/>
          <w:color w:val="0070C0"/>
        </w:rPr>
      </w:pPr>
      <w:r w:rsidRPr="00FF2598">
        <w:rPr>
          <w:rFonts w:ascii="Calibri" w:hAnsi="Calibri" w:cs="Calibri"/>
          <w:b/>
          <w:bCs/>
          <w:color w:val="0070C0"/>
        </w:rPr>
        <w:t>TOC Post-Admission Performance Assessment Tool</w:t>
      </w:r>
    </w:p>
    <w:p w14:paraId="67605844" w14:textId="76271AD1" w:rsidR="00FF2598" w:rsidRDefault="00FF2598" w:rsidP="00FF2598">
      <w:pPr>
        <w:autoSpaceDE w:val="0"/>
        <w:autoSpaceDN w:val="0"/>
        <w:adjustRightInd w:val="0"/>
        <w:rPr>
          <w:rFonts w:ascii="Calibri" w:hAnsi="Calibri" w:cs="Calibri"/>
          <w:b/>
          <w:bCs/>
          <w:color w:val="0070C0"/>
        </w:rPr>
      </w:pPr>
    </w:p>
    <w:p w14:paraId="681921C0" w14:textId="552A1D67" w:rsidR="00FF2598" w:rsidRDefault="00FF2598" w:rsidP="00FF2598">
      <w:pPr>
        <w:autoSpaceDE w:val="0"/>
        <w:autoSpaceDN w:val="0"/>
        <w:adjustRightInd w:val="0"/>
        <w:rPr>
          <w:rFonts w:ascii="Calibri" w:hAnsi="Calibri" w:cs="Calibri"/>
          <w:b/>
          <w:bCs/>
          <w:color w:val="0070C0"/>
        </w:rPr>
      </w:pPr>
      <w:r w:rsidRPr="00FF2598">
        <w:rPr>
          <w:rFonts w:ascii="Calibri" w:hAnsi="Calibri" w:cs="Calibri"/>
          <w:noProof/>
        </w:rPr>
        <w:drawing>
          <wp:inline distT="0" distB="0" distL="0" distR="0" wp14:anchorId="4BB6CF69" wp14:editId="3F3FC490">
            <wp:extent cx="5869172" cy="382869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t="12335"/>
                    <a:stretch/>
                  </pic:blipFill>
                  <pic:spPr bwMode="auto">
                    <a:xfrm>
                      <a:off x="0" y="0"/>
                      <a:ext cx="5874877" cy="3832413"/>
                    </a:xfrm>
                    <a:prstGeom prst="rect">
                      <a:avLst/>
                    </a:prstGeom>
                    <a:noFill/>
                    <a:ln>
                      <a:noFill/>
                    </a:ln>
                    <a:extLst>
                      <a:ext uri="{53640926-AAD7-44D8-BBD7-CCE9431645EC}">
                        <a14:shadowObscured xmlns:a14="http://schemas.microsoft.com/office/drawing/2010/main"/>
                      </a:ext>
                    </a:extLst>
                  </pic:spPr>
                </pic:pic>
              </a:graphicData>
            </a:graphic>
          </wp:inline>
        </w:drawing>
      </w:r>
    </w:p>
    <w:p w14:paraId="12D6B1C9" w14:textId="75AC79DD" w:rsidR="00FF2598" w:rsidRDefault="00FF2598" w:rsidP="00FF2598">
      <w:pPr>
        <w:autoSpaceDE w:val="0"/>
        <w:autoSpaceDN w:val="0"/>
        <w:adjustRightInd w:val="0"/>
        <w:rPr>
          <w:rFonts w:ascii="Calibri" w:hAnsi="Calibri" w:cs="Calibri"/>
          <w:b/>
          <w:bCs/>
          <w:color w:val="0070C0"/>
        </w:rPr>
      </w:pPr>
    </w:p>
    <w:p w14:paraId="2E0FA8B5" w14:textId="5A9C07CD" w:rsidR="00FF2598" w:rsidRDefault="00FF2598" w:rsidP="00FF2598">
      <w:pPr>
        <w:autoSpaceDE w:val="0"/>
        <w:autoSpaceDN w:val="0"/>
        <w:adjustRightInd w:val="0"/>
        <w:rPr>
          <w:rFonts w:ascii="Calibri" w:hAnsi="Calibri" w:cs="Calibri"/>
          <w:b/>
          <w:bCs/>
          <w:color w:val="0070C0"/>
        </w:rPr>
      </w:pPr>
    </w:p>
    <w:p w14:paraId="3B70FCBF" w14:textId="77777777" w:rsidR="00264188" w:rsidRPr="00264188" w:rsidRDefault="00264188" w:rsidP="00264188">
      <w:pPr>
        <w:autoSpaceDE w:val="0"/>
        <w:autoSpaceDN w:val="0"/>
        <w:adjustRightInd w:val="0"/>
        <w:rPr>
          <w:rFonts w:ascii="Calibri" w:hAnsi="Calibri" w:cs="Calibri"/>
          <w:b/>
          <w:bCs/>
          <w:color w:val="0070C0"/>
          <w:sz w:val="26"/>
          <w:szCs w:val="26"/>
        </w:rPr>
      </w:pPr>
      <w:r w:rsidRPr="00264188">
        <w:rPr>
          <w:rFonts w:ascii="Calibri" w:hAnsi="Calibri" w:cs="Calibri"/>
          <w:b/>
          <w:bCs/>
          <w:color w:val="0070C0"/>
          <w:sz w:val="26"/>
          <w:szCs w:val="26"/>
        </w:rPr>
        <w:t xml:space="preserve">Post ED Workflow </w:t>
      </w:r>
    </w:p>
    <w:p w14:paraId="78343E6C" w14:textId="789D0EBD" w:rsidR="00FF2598" w:rsidRPr="00264188" w:rsidRDefault="00264188" w:rsidP="00264188">
      <w:pPr>
        <w:autoSpaceDE w:val="0"/>
        <w:autoSpaceDN w:val="0"/>
        <w:adjustRightInd w:val="0"/>
        <w:rPr>
          <w:rFonts w:ascii="Calibri" w:hAnsi="Calibri" w:cs="Calibri"/>
          <w:b/>
          <w:bCs/>
          <w:color w:val="0070C0"/>
        </w:rPr>
      </w:pPr>
      <w:r w:rsidRPr="00264188">
        <w:rPr>
          <w:rFonts w:ascii="Calibri" w:hAnsi="Calibri" w:cs="Calibri"/>
          <w:b/>
          <w:bCs/>
          <w:color w:val="0070C0"/>
        </w:rPr>
        <w:t>The following table describes the post-ED transition of care workflow elements across staff and setting.</w:t>
      </w:r>
    </w:p>
    <w:p w14:paraId="38F0B367" w14:textId="051F3E47" w:rsidR="00FF2598" w:rsidRPr="00FF2598" w:rsidRDefault="00FF2598" w:rsidP="00FF2598">
      <w:pPr>
        <w:rPr>
          <w:rFonts w:ascii="Calibri" w:hAnsi="Calibri" w:cs="Calibri"/>
        </w:rPr>
      </w:pPr>
    </w:p>
    <w:p w14:paraId="1AA4E4B0" w14:textId="3BF8A6B1" w:rsidR="00FF2598" w:rsidRDefault="001F6C84" w:rsidP="00FF2598">
      <w:pPr>
        <w:rPr>
          <w:noProof/>
        </w:rPr>
      </w:pPr>
      <w:r>
        <w:rPr>
          <w:noProof/>
        </w:rPr>
        <w:drawing>
          <wp:inline distT="0" distB="0" distL="0" distR="0" wp14:anchorId="1CAA4F67" wp14:editId="688F9A4C">
            <wp:extent cx="5943600" cy="6795135"/>
            <wp:effectExtent l="0" t="0" r="0" b="5715"/>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23"/>
                    <a:stretch>
                      <a:fillRect/>
                    </a:stretch>
                  </pic:blipFill>
                  <pic:spPr>
                    <a:xfrm>
                      <a:off x="0" y="0"/>
                      <a:ext cx="5943600" cy="6795135"/>
                    </a:xfrm>
                    <a:prstGeom prst="rect">
                      <a:avLst/>
                    </a:prstGeom>
                  </pic:spPr>
                </pic:pic>
              </a:graphicData>
            </a:graphic>
          </wp:inline>
        </w:drawing>
      </w:r>
    </w:p>
    <w:p w14:paraId="4D1FB0C3" w14:textId="53CD0839" w:rsidR="001F6C84" w:rsidRDefault="001F6C84" w:rsidP="001F6C84">
      <w:pPr>
        <w:rPr>
          <w:noProof/>
        </w:rPr>
      </w:pPr>
    </w:p>
    <w:p w14:paraId="7BC1554F" w14:textId="74BF6813" w:rsidR="001F6C84" w:rsidRDefault="001F6C84" w:rsidP="001F6C84">
      <w:pPr>
        <w:tabs>
          <w:tab w:val="left" w:pos="2612"/>
        </w:tabs>
        <w:rPr>
          <w:rFonts w:ascii="Calibri" w:hAnsi="Calibri" w:cs="Calibri"/>
        </w:rPr>
      </w:pPr>
      <w:r>
        <w:rPr>
          <w:rFonts w:ascii="Calibri" w:hAnsi="Calibri" w:cs="Calibri"/>
        </w:rPr>
        <w:tab/>
      </w:r>
    </w:p>
    <w:p w14:paraId="6E08A1ED" w14:textId="52CBDE60" w:rsidR="001F6C84" w:rsidRDefault="00C532AD" w:rsidP="00C532AD">
      <w:pPr>
        <w:tabs>
          <w:tab w:val="left" w:pos="2612"/>
        </w:tabs>
        <w:rPr>
          <w:noProof/>
        </w:rPr>
      </w:pPr>
      <w:r>
        <w:rPr>
          <w:noProof/>
        </w:rPr>
        <w:drawing>
          <wp:inline distT="0" distB="0" distL="0" distR="0" wp14:anchorId="6D6B6139" wp14:editId="7969B83B">
            <wp:extent cx="5943600" cy="6136640"/>
            <wp:effectExtent l="0" t="0" r="0" b="0"/>
            <wp:docPr id="10" name="Picture 10"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with medium confidence"/>
                    <pic:cNvPicPr/>
                  </pic:nvPicPr>
                  <pic:blipFill>
                    <a:blip r:embed="rId24"/>
                    <a:stretch>
                      <a:fillRect/>
                    </a:stretch>
                  </pic:blipFill>
                  <pic:spPr>
                    <a:xfrm>
                      <a:off x="0" y="0"/>
                      <a:ext cx="5943600" cy="6136640"/>
                    </a:xfrm>
                    <a:prstGeom prst="rect">
                      <a:avLst/>
                    </a:prstGeom>
                  </pic:spPr>
                </pic:pic>
              </a:graphicData>
            </a:graphic>
          </wp:inline>
        </w:drawing>
      </w:r>
    </w:p>
    <w:p w14:paraId="721EF97D" w14:textId="295630D7" w:rsidR="00E400C1" w:rsidRPr="00E400C1" w:rsidRDefault="00E400C1" w:rsidP="00E400C1">
      <w:pPr>
        <w:rPr>
          <w:rFonts w:ascii="Calibri" w:hAnsi="Calibri" w:cs="Calibri"/>
        </w:rPr>
      </w:pPr>
    </w:p>
    <w:p w14:paraId="6A9C6877" w14:textId="11F8EEE2" w:rsidR="00E400C1" w:rsidRDefault="00E24B0D" w:rsidP="00E400C1">
      <w:pPr>
        <w:rPr>
          <w:b/>
          <w:bCs/>
          <w:color w:val="0070C0"/>
        </w:rPr>
      </w:pPr>
      <w:r w:rsidRPr="00E24B0D">
        <w:rPr>
          <w:b/>
          <w:bCs/>
          <w:color w:val="0070C0"/>
        </w:rPr>
        <w:t>Improving the Emergency Department Discharge Process: Environmental Scan Report</w:t>
      </w:r>
    </w:p>
    <w:p w14:paraId="036AC762" w14:textId="7E9A8D95" w:rsidR="00864CDD" w:rsidRPr="00864CDD" w:rsidRDefault="00864CDD" w:rsidP="00864CDD">
      <w:pPr>
        <w:rPr>
          <w:rFonts w:ascii="Calibri" w:hAnsi="Calibri" w:cs="Calibri"/>
        </w:rPr>
      </w:pPr>
      <w:r w:rsidRPr="00864CDD">
        <w:rPr>
          <w:rFonts w:ascii="Calibri" w:hAnsi="Calibri" w:cs="Calibri"/>
        </w:rPr>
        <w:t>AHRQ’s Emergency Department Discharge Process Environmental Scan Report describes three main functions of an effective ED discharge process as follows:</w:t>
      </w:r>
    </w:p>
    <w:p w14:paraId="326FB2E0" w14:textId="0A369AD2" w:rsidR="00864CDD" w:rsidRDefault="00864CDD" w:rsidP="00864CDD">
      <w:pPr>
        <w:rPr>
          <w:rFonts w:ascii="Calibri" w:hAnsi="Calibri" w:cs="Calibri"/>
        </w:rPr>
      </w:pPr>
      <w:r w:rsidRPr="00864CDD">
        <w:rPr>
          <w:rFonts w:ascii="Calibri" w:hAnsi="Calibri" w:cs="Calibri"/>
        </w:rPr>
        <w:t>There are several interventions cited as potential improvements to the ED discharge process, three of which were correlated with higher levels of success: discharge instruction education/simplification, telephone follow-up, and ED-made appointments.</w:t>
      </w:r>
    </w:p>
    <w:p w14:paraId="6BDE3058" w14:textId="77777777" w:rsidR="00386EAC" w:rsidRPr="00864CDD" w:rsidRDefault="00386EAC" w:rsidP="00864CDD">
      <w:pPr>
        <w:rPr>
          <w:rFonts w:ascii="Calibri" w:hAnsi="Calibri" w:cs="Calibri"/>
        </w:rPr>
      </w:pPr>
    </w:p>
    <w:p w14:paraId="022DFEAA" w14:textId="00BAE4AA" w:rsidR="00864CDD" w:rsidRPr="00386EAC" w:rsidRDefault="00864CDD" w:rsidP="00386EAC">
      <w:pPr>
        <w:pStyle w:val="ListParagraph"/>
        <w:numPr>
          <w:ilvl w:val="0"/>
          <w:numId w:val="14"/>
        </w:numPr>
        <w:rPr>
          <w:rFonts w:ascii="Calibri" w:hAnsi="Calibri" w:cs="Calibri"/>
        </w:rPr>
      </w:pPr>
      <w:r w:rsidRPr="00386EAC">
        <w:rPr>
          <w:rFonts w:ascii="Calibri" w:hAnsi="Calibri" w:cs="Calibri"/>
        </w:rPr>
        <w:t>Discharge instruction – ED providers effectively communicating critical information, verifying understanding, and tailoring to meet patient needs enhance safe discharges.</w:t>
      </w:r>
    </w:p>
    <w:p w14:paraId="398F7795" w14:textId="2AF81862" w:rsidR="00864CDD" w:rsidRPr="00386EAC" w:rsidRDefault="00864CDD" w:rsidP="00386EAC">
      <w:pPr>
        <w:pStyle w:val="ListParagraph"/>
        <w:numPr>
          <w:ilvl w:val="0"/>
          <w:numId w:val="14"/>
        </w:numPr>
        <w:rPr>
          <w:rFonts w:ascii="Calibri" w:hAnsi="Calibri" w:cs="Calibri"/>
        </w:rPr>
      </w:pPr>
      <w:r w:rsidRPr="00386EAC">
        <w:rPr>
          <w:rFonts w:ascii="Calibri" w:hAnsi="Calibri" w:cs="Calibri"/>
        </w:rPr>
        <w:t>Follow-up Telephone Calls – found to be effective in reaching patients and clarifying discharge instructions</w:t>
      </w:r>
    </w:p>
    <w:p w14:paraId="15F11A63" w14:textId="28D952F3" w:rsidR="00864CDD" w:rsidRPr="00386EAC" w:rsidRDefault="00864CDD" w:rsidP="00386EAC">
      <w:pPr>
        <w:pStyle w:val="ListParagraph"/>
        <w:numPr>
          <w:ilvl w:val="0"/>
          <w:numId w:val="14"/>
        </w:numPr>
        <w:rPr>
          <w:rFonts w:ascii="Calibri" w:hAnsi="Calibri" w:cs="Calibri"/>
        </w:rPr>
      </w:pPr>
      <w:r w:rsidRPr="00386EAC">
        <w:rPr>
          <w:rFonts w:ascii="Calibri" w:hAnsi="Calibri" w:cs="Calibri"/>
        </w:rPr>
        <w:t>ED-made follow-up Appointments – resulted in higher follow-up appointment rate vs. just providing the practice phone number.</w:t>
      </w:r>
    </w:p>
    <w:p w14:paraId="3BADF6E1" w14:textId="28875F15" w:rsidR="00E400C1" w:rsidRDefault="00C10D2E" w:rsidP="00E400C1">
      <w:pPr>
        <w:ind w:firstLine="720"/>
        <w:rPr>
          <w:rFonts w:ascii="Calibri" w:hAnsi="Calibri" w:cs="Calibri"/>
        </w:rPr>
      </w:pPr>
      <w:hyperlink r:id="rId25" w:history="1">
        <w:r w:rsidR="008029CF" w:rsidRPr="008029CF">
          <w:rPr>
            <w:color w:val="0000FF"/>
            <w:u w:val="single"/>
          </w:rPr>
          <w:t>Improving the Emergency Department Discharge Process: Environmental Scan Report (ahrq.gov)</w:t>
        </w:r>
      </w:hyperlink>
    </w:p>
    <w:p w14:paraId="35C57519" w14:textId="732A1160" w:rsidR="00E400C1" w:rsidRDefault="00E400C1" w:rsidP="00E400C1">
      <w:pPr>
        <w:ind w:firstLine="720"/>
        <w:rPr>
          <w:rFonts w:ascii="Calibri" w:hAnsi="Calibri" w:cs="Calibri"/>
        </w:rPr>
      </w:pPr>
    </w:p>
    <w:p w14:paraId="2FE99327" w14:textId="2EBEFBA3" w:rsidR="00E400C1" w:rsidRDefault="00E400C1" w:rsidP="00E400C1">
      <w:pPr>
        <w:ind w:firstLine="720"/>
        <w:rPr>
          <w:rFonts w:ascii="Calibri" w:hAnsi="Calibri" w:cs="Calibri"/>
        </w:rPr>
      </w:pPr>
    </w:p>
    <w:p w14:paraId="6FC86617" w14:textId="775FDA9F" w:rsidR="00E400C1" w:rsidRPr="002E76B9" w:rsidRDefault="002E76B9" w:rsidP="002E76B9">
      <w:pPr>
        <w:rPr>
          <w:rFonts w:ascii="Calibri" w:hAnsi="Calibri" w:cs="Calibri"/>
          <w:b/>
          <w:bCs/>
          <w:color w:val="0070C0"/>
          <w:sz w:val="16"/>
          <w:szCs w:val="16"/>
        </w:rPr>
      </w:pPr>
      <w:r w:rsidRPr="002E76B9">
        <w:rPr>
          <w:b/>
          <w:bCs/>
          <w:color w:val="0070C0"/>
        </w:rPr>
        <w:t>Recommended Workflow for Post-ED TOC Completion Including Integration of non-RN Roles for Medicaid Patients without Established PCPs</w:t>
      </w:r>
    </w:p>
    <w:p w14:paraId="2E25ADAA" w14:textId="69292E2B" w:rsidR="00EC0A7A" w:rsidRDefault="00EC0A7A" w:rsidP="002E76B9">
      <w:pPr>
        <w:rPr>
          <w:rFonts w:ascii="Calibri" w:hAnsi="Calibri" w:cs="Calibri"/>
        </w:rPr>
      </w:pPr>
    </w:p>
    <w:p w14:paraId="5D67F8BB" w14:textId="0AA8CD58" w:rsidR="00A01330" w:rsidRDefault="00A01330" w:rsidP="00A01330">
      <w:pPr>
        <w:pStyle w:val="Default"/>
        <w:rPr>
          <w:sz w:val="14"/>
          <w:szCs w:val="14"/>
        </w:rPr>
      </w:pPr>
      <w:r>
        <w:rPr>
          <w:sz w:val="22"/>
          <w:szCs w:val="22"/>
        </w:rPr>
        <w:t xml:space="preserve">Healthcare professionals interviewed consistently reported the lack of Registered Nurses (RNs) available in the community for workforce recruitment. According to the 5/26/21 MassHire Berkshire Workforce Board Fact Sheet, 400 open jobs were reported in Healthcare out of 2,537 open positions in the county – the highest need industry listed. Among the top industry-specific skills needed were nurses.  </w:t>
      </w:r>
    </w:p>
    <w:p w14:paraId="089703AB" w14:textId="77777777" w:rsidR="003068B9" w:rsidRDefault="003068B9" w:rsidP="00A01330">
      <w:pPr>
        <w:pStyle w:val="Default"/>
        <w:rPr>
          <w:sz w:val="22"/>
          <w:szCs w:val="22"/>
        </w:rPr>
      </w:pPr>
    </w:p>
    <w:p w14:paraId="28107294" w14:textId="1D1EC7B3" w:rsidR="00A01330" w:rsidRDefault="00A01330" w:rsidP="00A01330">
      <w:pPr>
        <w:pStyle w:val="Default"/>
        <w:rPr>
          <w:sz w:val="14"/>
          <w:szCs w:val="14"/>
        </w:rPr>
      </w:pPr>
      <w:r>
        <w:rPr>
          <w:sz w:val="22"/>
          <w:szCs w:val="22"/>
        </w:rPr>
        <w:t>In addition to the lack of nurses available in the job market, they are an expensive resource. According to Indeed, the average hourly pay for a BHS registered nurse is $ 45.22 per hour, which is 27% above the national average</w:t>
      </w:r>
    </w:p>
    <w:p w14:paraId="40DFE6C8" w14:textId="77777777" w:rsidR="003068B9" w:rsidRDefault="003068B9" w:rsidP="00A01330">
      <w:pPr>
        <w:pStyle w:val="Default"/>
        <w:rPr>
          <w:sz w:val="22"/>
          <w:szCs w:val="22"/>
        </w:rPr>
      </w:pPr>
    </w:p>
    <w:p w14:paraId="4371EFEE" w14:textId="77777777" w:rsidR="00946729" w:rsidRDefault="00A01330" w:rsidP="00A01330">
      <w:pPr>
        <w:pStyle w:val="Default"/>
        <w:rPr>
          <w:sz w:val="22"/>
          <w:szCs w:val="22"/>
        </w:rPr>
      </w:pPr>
      <w:r>
        <w:rPr>
          <w:sz w:val="22"/>
          <w:szCs w:val="22"/>
        </w:rPr>
        <w:t>According to the County Health Rankings, Berkshire County is ranked among the least healthy counties in Massachusetts and in the lower middle range of counties in health factors.</w:t>
      </w:r>
      <w:r>
        <w:rPr>
          <w:sz w:val="14"/>
          <w:szCs w:val="14"/>
        </w:rPr>
        <w:t xml:space="preserve"> </w:t>
      </w:r>
      <w:r>
        <w:rPr>
          <w:sz w:val="22"/>
          <w:szCs w:val="22"/>
        </w:rPr>
        <w:t>Health factors include health behaviors, clinical care access, social and economic factors, and the physical environment. To the extent that a population has more barriers to good health, the greater the need for a flexible workforce able to address medical and non-medical health factors and the social determinants of health.</w:t>
      </w:r>
    </w:p>
    <w:p w14:paraId="1A086EE9" w14:textId="06C80B9B" w:rsidR="00A01330" w:rsidRDefault="00A01330" w:rsidP="00A01330">
      <w:pPr>
        <w:pStyle w:val="Default"/>
        <w:rPr>
          <w:sz w:val="22"/>
          <w:szCs w:val="22"/>
        </w:rPr>
      </w:pPr>
      <w:r>
        <w:rPr>
          <w:sz w:val="22"/>
          <w:szCs w:val="22"/>
        </w:rPr>
        <w:t xml:space="preserve"> </w:t>
      </w:r>
    </w:p>
    <w:p w14:paraId="613021F5" w14:textId="76087960" w:rsidR="00A01330" w:rsidRDefault="00A01330" w:rsidP="001408C6">
      <w:pPr>
        <w:pStyle w:val="Default"/>
        <w:rPr>
          <w:color w:val="auto"/>
          <w:sz w:val="22"/>
          <w:szCs w:val="22"/>
        </w:rPr>
      </w:pPr>
      <w:r>
        <w:rPr>
          <w:sz w:val="22"/>
          <w:szCs w:val="22"/>
        </w:rPr>
        <w:t xml:space="preserve">Massachusetts allows a variety of non-Registered Nurse roles to support health and wellness activities including Case Manager/Care Coordinator, Peer Recovery Coach, Peer Support Worker, Peer Recovery Coach, Certified Addiction Recovery Coach, Certified Peer Specialist, Recovery Support Navigator, Recovery Specialist, Certified Prevention Specialists, Medical Assistants, Nurse Assistants, Licensed Practical Nurse, Social Worker, and Community Health Worker. There are other positions serving in </w:t>
      </w:r>
      <w:r>
        <w:rPr>
          <w:color w:val="auto"/>
          <w:sz w:val="22"/>
          <w:szCs w:val="22"/>
        </w:rPr>
        <w:t xml:space="preserve">clinical support roles such as Clinical Health Educators. Licensing entities and required training vary by role: </w:t>
      </w:r>
    </w:p>
    <w:p w14:paraId="0E938CDF" w14:textId="7784B8D4" w:rsidR="00A01330" w:rsidRDefault="00A01330" w:rsidP="001408C6">
      <w:pPr>
        <w:pStyle w:val="Default"/>
        <w:numPr>
          <w:ilvl w:val="0"/>
          <w:numId w:val="27"/>
        </w:numPr>
        <w:spacing w:after="27"/>
        <w:rPr>
          <w:color w:val="auto"/>
          <w:sz w:val="22"/>
          <w:szCs w:val="22"/>
        </w:rPr>
      </w:pPr>
      <w:r>
        <w:rPr>
          <w:color w:val="auto"/>
          <w:sz w:val="22"/>
          <w:szCs w:val="22"/>
        </w:rPr>
        <w:t xml:space="preserve">Certified Prevention Specialist Requirements: </w:t>
      </w:r>
      <w:hyperlink r:id="rId26" w:history="1">
        <w:r w:rsidR="00D75ED9" w:rsidRPr="00423D82">
          <w:rPr>
            <w:rStyle w:val="Hyperlink"/>
            <w:sz w:val="22"/>
            <w:szCs w:val="22"/>
          </w:rPr>
          <w:t>https://csps-ma.org/</w:t>
        </w:r>
      </w:hyperlink>
      <w:r w:rsidR="00D75ED9">
        <w:rPr>
          <w:color w:val="auto"/>
          <w:sz w:val="22"/>
          <w:szCs w:val="22"/>
        </w:rPr>
        <w:t xml:space="preserve"> </w:t>
      </w:r>
      <w:r>
        <w:rPr>
          <w:color w:val="auto"/>
          <w:sz w:val="22"/>
          <w:szCs w:val="22"/>
        </w:rPr>
        <w:t xml:space="preserve">certification </w:t>
      </w:r>
    </w:p>
    <w:p w14:paraId="4D900AD2" w14:textId="14E96CAF" w:rsidR="00A01330" w:rsidRDefault="00A01330" w:rsidP="001408C6">
      <w:pPr>
        <w:pStyle w:val="Default"/>
        <w:numPr>
          <w:ilvl w:val="0"/>
          <w:numId w:val="27"/>
        </w:numPr>
        <w:spacing w:after="27"/>
        <w:rPr>
          <w:color w:val="auto"/>
          <w:sz w:val="22"/>
          <w:szCs w:val="22"/>
        </w:rPr>
      </w:pPr>
      <w:r>
        <w:rPr>
          <w:color w:val="auto"/>
          <w:sz w:val="22"/>
          <w:szCs w:val="22"/>
        </w:rPr>
        <w:t xml:space="preserve">Peer Recovery Coach Requirements: </w:t>
      </w:r>
      <w:hyperlink r:id="rId27" w:anchor=":~:text=have%20lived%20experience%20of%20addiction,volunteer%20providing%20Recovery%20Coaching%20services" w:history="1">
        <w:r w:rsidR="00D75ED9" w:rsidRPr="00423D82">
          <w:rPr>
            <w:rStyle w:val="Hyperlink"/>
            <w:sz w:val="22"/>
            <w:szCs w:val="22"/>
          </w:rPr>
          <w:t>https://careersofsubstance.org/your-career/career-paths/peer-recovery coach#:~:text=have%20lived%20experience%20of%20addiction,volunteer%20providing%20Recovery%20Coaching%20services</w:t>
        </w:r>
      </w:hyperlink>
      <w:r w:rsidR="004E79FA">
        <w:rPr>
          <w:color w:val="auto"/>
          <w:sz w:val="22"/>
          <w:szCs w:val="22"/>
        </w:rPr>
        <w:t xml:space="preserve"> </w:t>
      </w:r>
      <w:r>
        <w:rPr>
          <w:color w:val="auto"/>
          <w:sz w:val="22"/>
          <w:szCs w:val="22"/>
        </w:rPr>
        <w:t xml:space="preserve"> Massachusetts Board of Substance Abuse Counselor Certification (Private, nongovernmental entity) </w:t>
      </w:r>
    </w:p>
    <w:p w14:paraId="29FC02E4" w14:textId="62CEE379" w:rsidR="00A01330" w:rsidRDefault="00A01330" w:rsidP="001408C6">
      <w:pPr>
        <w:pStyle w:val="Default"/>
        <w:numPr>
          <w:ilvl w:val="0"/>
          <w:numId w:val="27"/>
        </w:numPr>
        <w:spacing w:after="27"/>
        <w:rPr>
          <w:color w:val="auto"/>
          <w:sz w:val="22"/>
          <w:szCs w:val="22"/>
        </w:rPr>
      </w:pPr>
      <w:r>
        <w:rPr>
          <w:color w:val="auto"/>
          <w:sz w:val="22"/>
          <w:szCs w:val="22"/>
        </w:rPr>
        <w:t xml:space="preserve">Peer Recovery Coach, Certified (Mental Health) Peer Specialist, Recovery Support Navigator, Recovery Specialist – Massachusetts Department of Public Health Bureau of Substance Addiction Services (DPH/BSAS) 2/27/19 Peer Support Worker Comparison Chart: </w:t>
      </w:r>
      <w:hyperlink r:id="rId28" w:history="1">
        <w:r w:rsidR="004E79FA" w:rsidRPr="00423D82">
          <w:rPr>
            <w:rStyle w:val="Hyperlink"/>
            <w:sz w:val="22"/>
            <w:szCs w:val="22"/>
          </w:rPr>
          <w:t>https://www.mass.gov/doc/peer-support-worker-comparison-chart/download</w:t>
        </w:r>
      </w:hyperlink>
      <w:r w:rsidR="004E79FA">
        <w:rPr>
          <w:color w:val="auto"/>
          <w:sz w:val="22"/>
          <w:szCs w:val="22"/>
        </w:rPr>
        <w:t xml:space="preserve"> </w:t>
      </w:r>
      <w:r>
        <w:rPr>
          <w:color w:val="auto"/>
          <w:sz w:val="22"/>
          <w:szCs w:val="22"/>
        </w:rPr>
        <w:t xml:space="preserve"> </w:t>
      </w:r>
    </w:p>
    <w:p w14:paraId="4407AE2F" w14:textId="5A6D885D" w:rsidR="00A01330" w:rsidRDefault="00A01330" w:rsidP="001408C6">
      <w:pPr>
        <w:pStyle w:val="Default"/>
        <w:numPr>
          <w:ilvl w:val="0"/>
          <w:numId w:val="27"/>
        </w:numPr>
        <w:spacing w:after="27"/>
        <w:rPr>
          <w:color w:val="auto"/>
          <w:sz w:val="22"/>
          <w:szCs w:val="22"/>
        </w:rPr>
      </w:pPr>
      <w:r>
        <w:rPr>
          <w:color w:val="auto"/>
          <w:sz w:val="22"/>
          <w:szCs w:val="22"/>
        </w:rPr>
        <w:t xml:space="preserve">Social Worker Requirements: </w:t>
      </w:r>
      <w:hyperlink r:id="rId29" w:history="1">
        <w:r w:rsidR="004E79FA" w:rsidRPr="00423D82">
          <w:rPr>
            <w:rStyle w:val="Hyperlink"/>
            <w:sz w:val="22"/>
            <w:szCs w:val="22"/>
          </w:rPr>
          <w:t>https://www.mass.gov/social-worker-licensing</w:t>
        </w:r>
      </w:hyperlink>
      <w:r w:rsidR="004E79FA">
        <w:rPr>
          <w:color w:val="auto"/>
          <w:sz w:val="22"/>
          <w:szCs w:val="22"/>
        </w:rPr>
        <w:t xml:space="preserve"> </w:t>
      </w:r>
      <w:r>
        <w:rPr>
          <w:color w:val="auto"/>
          <w:sz w:val="22"/>
          <w:szCs w:val="22"/>
        </w:rPr>
        <w:t xml:space="preserve"> - Board of Registration of Social Work </w:t>
      </w:r>
    </w:p>
    <w:p w14:paraId="75B2143E" w14:textId="51AE49A2" w:rsidR="00A01330" w:rsidRDefault="00A01330" w:rsidP="001408C6">
      <w:pPr>
        <w:pStyle w:val="Default"/>
        <w:numPr>
          <w:ilvl w:val="0"/>
          <w:numId w:val="27"/>
        </w:numPr>
        <w:spacing w:after="27"/>
        <w:rPr>
          <w:color w:val="auto"/>
          <w:sz w:val="22"/>
          <w:szCs w:val="22"/>
        </w:rPr>
      </w:pPr>
      <w:r>
        <w:rPr>
          <w:color w:val="auto"/>
          <w:sz w:val="22"/>
          <w:szCs w:val="22"/>
        </w:rPr>
        <w:t xml:space="preserve">Community Health Worker Requirements: </w:t>
      </w:r>
      <w:hyperlink r:id="rId30" w:history="1">
        <w:r w:rsidR="004E79FA" w:rsidRPr="00423D82">
          <w:rPr>
            <w:rStyle w:val="Hyperlink"/>
            <w:sz w:val="22"/>
            <w:szCs w:val="22"/>
          </w:rPr>
          <w:t>https://www.mass.gov/community-health-worker-certification</w:t>
        </w:r>
      </w:hyperlink>
      <w:r w:rsidR="004E79FA">
        <w:rPr>
          <w:color w:val="auto"/>
          <w:sz w:val="22"/>
          <w:szCs w:val="22"/>
        </w:rPr>
        <w:t xml:space="preserve"> </w:t>
      </w:r>
      <w:r>
        <w:rPr>
          <w:color w:val="auto"/>
          <w:sz w:val="22"/>
          <w:szCs w:val="22"/>
        </w:rPr>
        <w:t xml:space="preserve"> - Massachusetts Department of Public Health Board of Certification of Community Health Workers </w:t>
      </w:r>
    </w:p>
    <w:p w14:paraId="4BBF8030" w14:textId="54FE15A3" w:rsidR="00A01330" w:rsidRDefault="00A01330" w:rsidP="001408C6">
      <w:pPr>
        <w:pStyle w:val="Default"/>
        <w:numPr>
          <w:ilvl w:val="0"/>
          <w:numId w:val="27"/>
        </w:numPr>
        <w:rPr>
          <w:color w:val="auto"/>
          <w:sz w:val="22"/>
          <w:szCs w:val="22"/>
        </w:rPr>
      </w:pPr>
      <w:r>
        <w:rPr>
          <w:color w:val="auto"/>
          <w:sz w:val="22"/>
          <w:szCs w:val="22"/>
        </w:rPr>
        <w:t xml:space="preserve">Certified Case Managers/Care Managers/Care Coordinators: </w:t>
      </w:r>
      <w:hyperlink r:id="rId31" w:history="1">
        <w:r w:rsidR="004E79FA" w:rsidRPr="00423D82">
          <w:rPr>
            <w:rStyle w:val="Hyperlink"/>
            <w:sz w:val="22"/>
            <w:szCs w:val="22"/>
          </w:rPr>
          <w:t>https://www.netce.com/ce-requirements/certified-case-manager/ma/</w:t>
        </w:r>
      </w:hyperlink>
      <w:r w:rsidR="004E79FA">
        <w:rPr>
          <w:color w:val="auto"/>
          <w:sz w:val="22"/>
          <w:szCs w:val="22"/>
        </w:rPr>
        <w:t xml:space="preserve"> </w:t>
      </w:r>
      <w:r>
        <w:rPr>
          <w:color w:val="auto"/>
          <w:sz w:val="22"/>
          <w:szCs w:val="22"/>
        </w:rPr>
        <w:t xml:space="preserve"> </w:t>
      </w:r>
    </w:p>
    <w:p w14:paraId="0CA5A069" w14:textId="77777777" w:rsidR="00A01330" w:rsidRDefault="00A01330" w:rsidP="00A01330">
      <w:pPr>
        <w:pStyle w:val="Default"/>
        <w:rPr>
          <w:color w:val="auto"/>
          <w:sz w:val="22"/>
          <w:szCs w:val="22"/>
        </w:rPr>
      </w:pPr>
    </w:p>
    <w:p w14:paraId="6BDD23ED" w14:textId="49078FFF" w:rsidR="00A01330" w:rsidRDefault="00A01330" w:rsidP="00A01330">
      <w:pPr>
        <w:rPr>
          <w:rFonts w:ascii="Calibri" w:hAnsi="Calibri" w:cs="Calibri"/>
        </w:rPr>
      </w:pPr>
      <w:r>
        <w:t>Massachusetts also supports programs such as Behavioral Health (BH) and Long-Term Services and Supports (LTSS) Community Partners (CPs) to provide care management and care coordination services to specified populations.</w:t>
      </w:r>
      <w:r>
        <w:rPr>
          <w:sz w:val="14"/>
          <w:szCs w:val="14"/>
        </w:rPr>
        <w:t xml:space="preserve">12 </w:t>
      </w:r>
      <w:r>
        <w:t>CPs can serve as an important patient support and care team member, but require information sharing across organizational lines to be effective.</w:t>
      </w:r>
    </w:p>
    <w:p w14:paraId="19C6A35B" w14:textId="47221B18" w:rsidR="00E400C1" w:rsidRDefault="00E400C1" w:rsidP="00E400C1">
      <w:pPr>
        <w:ind w:firstLine="720"/>
        <w:rPr>
          <w:rFonts w:ascii="Calibri" w:hAnsi="Calibri" w:cs="Calibri"/>
        </w:rPr>
      </w:pPr>
    </w:p>
    <w:p w14:paraId="02764C0D" w14:textId="0F504A85" w:rsidR="002B2A98" w:rsidRPr="002B2A98" w:rsidRDefault="002B2A98" w:rsidP="002B2A98">
      <w:pPr>
        <w:rPr>
          <w:rFonts w:ascii="Calibri" w:hAnsi="Calibri" w:cs="Calibri"/>
        </w:rPr>
      </w:pPr>
    </w:p>
    <w:p w14:paraId="164781D9" w14:textId="504D2EC8" w:rsidR="002B2A98" w:rsidRDefault="002B2A98" w:rsidP="002B2A98">
      <w:pPr>
        <w:rPr>
          <w:rFonts w:ascii="Calibri" w:hAnsi="Calibri" w:cs="Calibri"/>
        </w:rPr>
      </w:pPr>
    </w:p>
    <w:p w14:paraId="68AF8025" w14:textId="77777777" w:rsidR="006D3D98" w:rsidRDefault="006D3D98" w:rsidP="006D3D98">
      <w:pPr>
        <w:pStyle w:val="Default"/>
        <w:rPr>
          <w:sz w:val="32"/>
          <w:szCs w:val="32"/>
        </w:rPr>
      </w:pPr>
      <w:r>
        <w:rPr>
          <w:sz w:val="32"/>
          <w:szCs w:val="32"/>
        </w:rPr>
        <w:t xml:space="preserve">References </w:t>
      </w:r>
    </w:p>
    <w:p w14:paraId="2FD3FFCE" w14:textId="7607C455" w:rsidR="006D3D98" w:rsidRDefault="006D3D98" w:rsidP="006D3D98">
      <w:pPr>
        <w:pStyle w:val="Default"/>
        <w:rPr>
          <w:sz w:val="22"/>
          <w:szCs w:val="22"/>
        </w:rPr>
      </w:pPr>
      <w:r>
        <w:rPr>
          <w:sz w:val="22"/>
          <w:szCs w:val="22"/>
        </w:rPr>
        <w:t xml:space="preserve">AAMA: Medicare CCM and TCM Programs, </w:t>
      </w:r>
      <w:hyperlink r:id="rId32" w:history="1">
        <w:r w:rsidRPr="00541C4A">
          <w:rPr>
            <w:rStyle w:val="Hyperlink"/>
            <w:sz w:val="22"/>
            <w:szCs w:val="22"/>
          </w:rPr>
          <w:t>https://www.aama-ntl.org/docs/default-source/default-document-library/cmatoday-ma-2018-pa.pdf?sfvrsn=2</w:t>
        </w:r>
      </w:hyperlink>
      <w:r>
        <w:rPr>
          <w:sz w:val="22"/>
          <w:szCs w:val="22"/>
        </w:rPr>
        <w:t xml:space="preserve">  April 2018. </w:t>
      </w:r>
    </w:p>
    <w:p w14:paraId="5DF4215C" w14:textId="77777777" w:rsidR="006D3D98" w:rsidRDefault="006D3D98" w:rsidP="006D3D98">
      <w:pPr>
        <w:pStyle w:val="Default"/>
        <w:rPr>
          <w:sz w:val="22"/>
          <w:szCs w:val="22"/>
        </w:rPr>
      </w:pPr>
    </w:p>
    <w:p w14:paraId="73095F0B" w14:textId="25F85554" w:rsidR="006D3D98" w:rsidRDefault="006D3D98" w:rsidP="006D3D98">
      <w:pPr>
        <w:pStyle w:val="Default"/>
        <w:rPr>
          <w:sz w:val="22"/>
          <w:szCs w:val="22"/>
        </w:rPr>
      </w:pPr>
      <w:r>
        <w:rPr>
          <w:sz w:val="22"/>
          <w:szCs w:val="22"/>
        </w:rPr>
        <w:t xml:space="preserve">Advisory Board, Reducing Avoidable Emergency Department Use </w:t>
      </w:r>
      <w:hyperlink r:id="rId33" w:history="1">
        <w:r w:rsidRPr="00541C4A">
          <w:rPr>
            <w:rStyle w:val="Hyperlink"/>
            <w:sz w:val="22"/>
            <w:szCs w:val="22"/>
          </w:rPr>
          <w:t>https://www.advisory.com/-/media/project/advisoryboard/advisory/topics/throughput-and-length-of-stay/toolkit/how-to-direct-patients-to-the-most-appropriate-site-of-care/Reducing-Avoidable-Emergency-Department-Use.pdf</w:t>
        </w:r>
      </w:hyperlink>
      <w:r>
        <w:rPr>
          <w:sz w:val="22"/>
          <w:szCs w:val="22"/>
        </w:rPr>
        <w:t xml:space="preserve"> , 2017. </w:t>
      </w:r>
    </w:p>
    <w:p w14:paraId="42EE2CB7" w14:textId="77777777" w:rsidR="006D3D98" w:rsidRDefault="006D3D98" w:rsidP="006D3D98">
      <w:pPr>
        <w:pStyle w:val="Default"/>
        <w:rPr>
          <w:sz w:val="22"/>
          <w:szCs w:val="22"/>
        </w:rPr>
      </w:pPr>
    </w:p>
    <w:p w14:paraId="26A63EE1" w14:textId="77777777" w:rsidR="006D3D98" w:rsidRDefault="006D3D98" w:rsidP="006D3D98">
      <w:pPr>
        <w:pStyle w:val="Default"/>
        <w:rPr>
          <w:sz w:val="22"/>
          <w:szCs w:val="22"/>
        </w:rPr>
      </w:pPr>
      <w:r>
        <w:rPr>
          <w:sz w:val="22"/>
          <w:szCs w:val="22"/>
        </w:rPr>
        <w:t xml:space="preserve">American Hospital Association: AHA Resource Center </w:t>
      </w:r>
      <w:hyperlink r:id="rId34" w:history="1">
        <w:r w:rsidRPr="00541C4A">
          <w:rPr>
            <w:rStyle w:val="Hyperlink"/>
            <w:sz w:val="22"/>
            <w:szCs w:val="22"/>
          </w:rPr>
          <w:t>https://www.aha.org/data-insights/resource-center</w:t>
        </w:r>
      </w:hyperlink>
      <w:r>
        <w:rPr>
          <w:sz w:val="22"/>
          <w:szCs w:val="22"/>
        </w:rPr>
        <w:t xml:space="preserve">  January 2021.</w:t>
      </w:r>
    </w:p>
    <w:p w14:paraId="499027B3" w14:textId="0D919FA5" w:rsidR="006D3D98" w:rsidRDefault="006D3D98" w:rsidP="006D3D98">
      <w:pPr>
        <w:pStyle w:val="Default"/>
        <w:rPr>
          <w:sz w:val="22"/>
          <w:szCs w:val="22"/>
        </w:rPr>
      </w:pPr>
      <w:r>
        <w:rPr>
          <w:sz w:val="22"/>
          <w:szCs w:val="22"/>
        </w:rPr>
        <w:t xml:space="preserve"> </w:t>
      </w:r>
    </w:p>
    <w:p w14:paraId="3A4FDDDC" w14:textId="0894FDD9" w:rsidR="006D3D98" w:rsidRDefault="006D3D98" w:rsidP="006D3D98">
      <w:pPr>
        <w:pStyle w:val="Default"/>
        <w:rPr>
          <w:sz w:val="22"/>
          <w:szCs w:val="22"/>
        </w:rPr>
      </w:pPr>
      <w:r>
        <w:rPr>
          <w:sz w:val="22"/>
          <w:szCs w:val="22"/>
        </w:rPr>
        <w:t xml:space="preserve">Agency for Healthcare Research and Quality: Costs of Emergency Department Visits for Mental and Substance Use Disorders in the United States, </w:t>
      </w:r>
      <w:hyperlink r:id="rId35" w:history="1">
        <w:r w:rsidRPr="00541C4A">
          <w:rPr>
            <w:rStyle w:val="Hyperlink"/>
            <w:sz w:val="22"/>
            <w:szCs w:val="22"/>
          </w:rPr>
          <w:t>https://www.hcup-us.ahrq.gov/reports/statbriefs/sb257-ED-Costs-Mental-Substance-Use-Disorders-2017.jsp</w:t>
        </w:r>
      </w:hyperlink>
      <w:r>
        <w:rPr>
          <w:sz w:val="22"/>
          <w:szCs w:val="22"/>
        </w:rPr>
        <w:t xml:space="preserve"> Rockville, MD.2017. </w:t>
      </w:r>
    </w:p>
    <w:p w14:paraId="39FA64C9" w14:textId="77777777" w:rsidR="006D3D98" w:rsidRDefault="006D3D98" w:rsidP="006D3D98">
      <w:pPr>
        <w:pStyle w:val="Default"/>
        <w:rPr>
          <w:sz w:val="22"/>
          <w:szCs w:val="22"/>
        </w:rPr>
      </w:pPr>
    </w:p>
    <w:p w14:paraId="24FF26FA" w14:textId="57E56AE3" w:rsidR="006D3D98" w:rsidRDefault="006D3D98" w:rsidP="006D3D98">
      <w:pPr>
        <w:pStyle w:val="Default"/>
        <w:rPr>
          <w:sz w:val="22"/>
          <w:szCs w:val="22"/>
        </w:rPr>
      </w:pPr>
      <w:r>
        <w:rPr>
          <w:sz w:val="22"/>
          <w:szCs w:val="22"/>
        </w:rPr>
        <w:t xml:space="preserve">Agency for Healthcare Research and Quality: Emergency Severity Index (ESI): A Triage Tool for Emergency Departments, </w:t>
      </w:r>
      <w:hyperlink r:id="rId36" w:history="1">
        <w:r w:rsidRPr="00541C4A">
          <w:rPr>
            <w:rStyle w:val="Hyperlink"/>
            <w:sz w:val="22"/>
            <w:szCs w:val="22"/>
          </w:rPr>
          <w:t>https://www.ahrq.gov/patient-safety/settings/emergency-dept/esi.html</w:t>
        </w:r>
      </w:hyperlink>
      <w:r>
        <w:rPr>
          <w:sz w:val="22"/>
          <w:szCs w:val="22"/>
        </w:rPr>
        <w:t xml:space="preserve">  Rockville, MD, May 2020. </w:t>
      </w:r>
    </w:p>
    <w:p w14:paraId="3270E4A7" w14:textId="77777777" w:rsidR="006D3D98" w:rsidRDefault="006D3D98" w:rsidP="006D3D98">
      <w:pPr>
        <w:pStyle w:val="Default"/>
        <w:rPr>
          <w:sz w:val="22"/>
          <w:szCs w:val="22"/>
        </w:rPr>
      </w:pPr>
    </w:p>
    <w:p w14:paraId="6B87076E" w14:textId="3E002581" w:rsidR="006D3D98" w:rsidRDefault="006D3D98" w:rsidP="006D3D98">
      <w:pPr>
        <w:pStyle w:val="Default"/>
        <w:rPr>
          <w:sz w:val="22"/>
          <w:szCs w:val="22"/>
        </w:rPr>
      </w:pPr>
      <w:r>
        <w:rPr>
          <w:sz w:val="22"/>
          <w:szCs w:val="22"/>
        </w:rPr>
        <w:t xml:space="preserve">Agency for Healthcare Research and Quality: Key Driver 4: Create and Support High Functioning Care Teams to Deliver High-Quality Evidence-Based Care, </w:t>
      </w:r>
      <w:hyperlink r:id="rId37" w:history="1">
        <w:r w:rsidRPr="00541C4A">
          <w:rPr>
            <w:rStyle w:val="Hyperlink"/>
            <w:sz w:val="22"/>
            <w:szCs w:val="22"/>
          </w:rPr>
          <w:t>https://www.ahrq.gov/evidencenow/tools/keydrivers/create-care-teams.html</w:t>
        </w:r>
      </w:hyperlink>
      <w:r>
        <w:rPr>
          <w:sz w:val="22"/>
          <w:szCs w:val="22"/>
        </w:rPr>
        <w:t xml:space="preserve">  Rockville, MD, November 2018. </w:t>
      </w:r>
    </w:p>
    <w:p w14:paraId="26AB99B6" w14:textId="77777777" w:rsidR="006D3D98" w:rsidRDefault="006D3D98" w:rsidP="006D3D98">
      <w:pPr>
        <w:pStyle w:val="Default"/>
        <w:rPr>
          <w:sz w:val="22"/>
          <w:szCs w:val="22"/>
        </w:rPr>
      </w:pPr>
    </w:p>
    <w:p w14:paraId="3634F329" w14:textId="4B44F531" w:rsidR="006D3D98" w:rsidRDefault="006D3D98" w:rsidP="006D3D98">
      <w:pPr>
        <w:pStyle w:val="Default"/>
        <w:rPr>
          <w:sz w:val="22"/>
          <w:szCs w:val="22"/>
        </w:rPr>
      </w:pPr>
      <w:r>
        <w:rPr>
          <w:sz w:val="22"/>
          <w:szCs w:val="22"/>
        </w:rPr>
        <w:t xml:space="preserve">Agency for Healthcare Research and Quality: AHRQ National Scorecard on Hospital-Acquired Conditions Updated Baseline Rates and Preliminary Results 2014–2017, </w:t>
      </w:r>
      <w:hyperlink r:id="rId38" w:history="1">
        <w:r w:rsidR="00640D8C" w:rsidRPr="00541C4A">
          <w:rPr>
            <w:rStyle w:val="Hyperlink"/>
            <w:sz w:val="22"/>
            <w:szCs w:val="22"/>
          </w:rPr>
          <w:t>https://www.ahrq.gov/sites/default/files/wysiwyg/professionals/quality-patient-safety/pfp/hacreport-2019.pdf</w:t>
        </w:r>
      </w:hyperlink>
      <w:r w:rsidR="00640D8C">
        <w:rPr>
          <w:sz w:val="22"/>
          <w:szCs w:val="22"/>
        </w:rPr>
        <w:t xml:space="preserve"> </w:t>
      </w:r>
      <w:r>
        <w:rPr>
          <w:sz w:val="22"/>
          <w:szCs w:val="22"/>
        </w:rPr>
        <w:t xml:space="preserve"> Rockville, MD. </w:t>
      </w:r>
    </w:p>
    <w:p w14:paraId="2F7F2B4C" w14:textId="77777777" w:rsidR="00640D8C" w:rsidRDefault="00640D8C" w:rsidP="006D3D98">
      <w:pPr>
        <w:pStyle w:val="Default"/>
        <w:rPr>
          <w:sz w:val="22"/>
          <w:szCs w:val="22"/>
        </w:rPr>
      </w:pPr>
    </w:p>
    <w:p w14:paraId="28612A76" w14:textId="5E70AB25" w:rsidR="006D3D98" w:rsidRDefault="006D3D98" w:rsidP="006D3D98">
      <w:pPr>
        <w:pStyle w:val="Default"/>
        <w:rPr>
          <w:sz w:val="22"/>
          <w:szCs w:val="22"/>
        </w:rPr>
      </w:pPr>
      <w:r>
        <w:rPr>
          <w:sz w:val="22"/>
          <w:szCs w:val="22"/>
        </w:rPr>
        <w:t xml:space="preserve">Agency for Healthcare Research and Quality: A Toolkit to Engage High-Risk Patients in Safe Transitions Across Ambulatory Settings </w:t>
      </w:r>
      <w:hyperlink r:id="rId39" w:history="1">
        <w:r w:rsidR="00640D8C" w:rsidRPr="00541C4A">
          <w:rPr>
            <w:rStyle w:val="Hyperlink"/>
            <w:sz w:val="22"/>
            <w:szCs w:val="22"/>
          </w:rPr>
          <w:t>https://psnet.ahrq.gov/issue/toolkit-engage-high-risk-patients-safe-transitions-across-ambulatory-settings</w:t>
        </w:r>
      </w:hyperlink>
      <w:r w:rsidR="00640D8C">
        <w:rPr>
          <w:sz w:val="22"/>
          <w:szCs w:val="22"/>
        </w:rPr>
        <w:t xml:space="preserve"> </w:t>
      </w:r>
      <w:r>
        <w:rPr>
          <w:sz w:val="22"/>
          <w:szCs w:val="22"/>
        </w:rPr>
        <w:t xml:space="preserve">Davis K, Collier S, Situ J, et al. Rockville, MD: Agency for Healthcare Research and Quality. AHRQ Publication No. 1800051EF. December 2017. </w:t>
      </w:r>
    </w:p>
    <w:p w14:paraId="4E7DDA5B" w14:textId="77777777" w:rsidR="00640D8C" w:rsidRDefault="00640D8C" w:rsidP="006D3D98">
      <w:pPr>
        <w:pStyle w:val="Default"/>
        <w:rPr>
          <w:sz w:val="22"/>
          <w:szCs w:val="22"/>
        </w:rPr>
      </w:pPr>
    </w:p>
    <w:p w14:paraId="32A6BE0B" w14:textId="3FE316AA" w:rsidR="006D3D98" w:rsidRDefault="006D3D98" w:rsidP="006D3D98">
      <w:pPr>
        <w:pStyle w:val="Default"/>
        <w:rPr>
          <w:sz w:val="22"/>
          <w:szCs w:val="22"/>
        </w:rPr>
      </w:pPr>
      <w:r>
        <w:rPr>
          <w:sz w:val="22"/>
          <w:szCs w:val="22"/>
        </w:rPr>
        <w:t xml:space="preserve">Agency for Healthcare Research and Quality: Care Transitions from Hospital to Home: Ideal Discharge Planning Implementation Handbook </w:t>
      </w:r>
      <w:hyperlink r:id="rId40" w:history="1">
        <w:r w:rsidR="00640D8C" w:rsidRPr="00541C4A">
          <w:rPr>
            <w:rStyle w:val="Hyperlink"/>
            <w:sz w:val="22"/>
            <w:szCs w:val="22"/>
          </w:rPr>
          <w:t>https://www.ahrq.gov/sites/default/files/wysiwyg/professionals/systems/hospital/engagingfamilies/strategy4/Strat4_Implement_Hndbook_508_v2.pdf</w:t>
        </w:r>
      </w:hyperlink>
      <w:r w:rsidR="00640D8C">
        <w:rPr>
          <w:sz w:val="22"/>
          <w:szCs w:val="22"/>
        </w:rPr>
        <w:t xml:space="preserve">  </w:t>
      </w:r>
      <w:r>
        <w:rPr>
          <w:sz w:val="22"/>
          <w:szCs w:val="22"/>
        </w:rPr>
        <w:t xml:space="preserve"> Rockville, MD. </w:t>
      </w:r>
    </w:p>
    <w:p w14:paraId="41D58948" w14:textId="11C6B348" w:rsidR="006D3D98" w:rsidRDefault="006D3D98" w:rsidP="006D3D98">
      <w:pPr>
        <w:pStyle w:val="Default"/>
        <w:rPr>
          <w:sz w:val="22"/>
          <w:szCs w:val="22"/>
        </w:rPr>
      </w:pPr>
      <w:r>
        <w:rPr>
          <w:sz w:val="22"/>
          <w:szCs w:val="22"/>
        </w:rPr>
        <w:t xml:space="preserve">Agency for Healthcare Research and Quality: Medications at Transitions and Clinical Handoffs (MATCH) Toolkit for Medication Reconciliation: </w:t>
      </w:r>
      <w:hyperlink r:id="rId41" w:history="1">
        <w:r w:rsidR="00640D8C" w:rsidRPr="00541C4A">
          <w:rPr>
            <w:rStyle w:val="Hyperlink"/>
            <w:sz w:val="22"/>
            <w:szCs w:val="22"/>
          </w:rPr>
          <w:t>https://www.ahrq.gov/patient-safety/resources/match/index.html</w:t>
        </w:r>
      </w:hyperlink>
      <w:r w:rsidR="00640D8C">
        <w:rPr>
          <w:sz w:val="22"/>
          <w:szCs w:val="22"/>
        </w:rPr>
        <w:t xml:space="preserve"> </w:t>
      </w:r>
      <w:r>
        <w:rPr>
          <w:sz w:val="22"/>
          <w:szCs w:val="22"/>
        </w:rPr>
        <w:t xml:space="preserve"> Rockville, MD, August 2012. </w:t>
      </w:r>
    </w:p>
    <w:p w14:paraId="0ED893EC" w14:textId="77777777" w:rsidR="00640D8C" w:rsidRDefault="00640D8C" w:rsidP="006D3D98">
      <w:pPr>
        <w:pStyle w:val="Default"/>
        <w:rPr>
          <w:sz w:val="22"/>
          <w:szCs w:val="22"/>
        </w:rPr>
      </w:pPr>
    </w:p>
    <w:p w14:paraId="4E55B9CB" w14:textId="77777777" w:rsidR="00D92F70" w:rsidRDefault="006D3D98" w:rsidP="00640D8C">
      <w:pPr>
        <w:pStyle w:val="Default"/>
        <w:rPr>
          <w:sz w:val="22"/>
          <w:szCs w:val="22"/>
        </w:rPr>
      </w:pPr>
      <w:r>
        <w:rPr>
          <w:sz w:val="22"/>
          <w:szCs w:val="22"/>
        </w:rPr>
        <w:t xml:space="preserve">Agency for Healthcare Research and Quality: AHRQ Quality Indicators—Guide to Prevention Quality Indicators: Hospital Admission for Ambulatory Care Sensitive Conditions. Rockville, MD: Agency for Healthcare Research and Quality, 2001. AHRQ Pub. No. 02-R0203, </w:t>
      </w:r>
      <w:hyperlink r:id="rId42" w:history="1">
        <w:r w:rsidR="00640D8C" w:rsidRPr="00541C4A">
          <w:rPr>
            <w:rStyle w:val="Hyperlink"/>
            <w:sz w:val="22"/>
            <w:szCs w:val="22"/>
          </w:rPr>
          <w:t>https://www.ahrq.gov/downloads/pub/ahrqqi/pqiguide.pdf</w:t>
        </w:r>
      </w:hyperlink>
      <w:r w:rsidR="00640D8C">
        <w:rPr>
          <w:sz w:val="22"/>
          <w:szCs w:val="22"/>
        </w:rPr>
        <w:t xml:space="preserve"> </w:t>
      </w:r>
      <w:r>
        <w:rPr>
          <w:sz w:val="22"/>
          <w:szCs w:val="22"/>
        </w:rPr>
        <w:t xml:space="preserve">, October 2001. </w:t>
      </w:r>
    </w:p>
    <w:p w14:paraId="36F14A31" w14:textId="77777777" w:rsidR="00D92F70" w:rsidRDefault="00D92F70" w:rsidP="00640D8C">
      <w:pPr>
        <w:pStyle w:val="Default"/>
        <w:rPr>
          <w:sz w:val="22"/>
          <w:szCs w:val="22"/>
        </w:rPr>
      </w:pPr>
    </w:p>
    <w:p w14:paraId="2F265F62" w14:textId="4A7949E8" w:rsidR="006D3D98" w:rsidRDefault="006D3D98" w:rsidP="00640D8C">
      <w:pPr>
        <w:pStyle w:val="Default"/>
        <w:rPr>
          <w:color w:val="auto"/>
          <w:sz w:val="22"/>
          <w:szCs w:val="22"/>
        </w:rPr>
      </w:pPr>
      <w:r>
        <w:rPr>
          <w:color w:val="auto"/>
          <w:sz w:val="22"/>
          <w:szCs w:val="22"/>
        </w:rPr>
        <w:t xml:space="preserve">Agency for Healthcare Research and Quality: Improving the Emergency Department Discharge Process: </w:t>
      </w:r>
      <w:hyperlink r:id="rId43" w:history="1">
        <w:r w:rsidR="00D92F70" w:rsidRPr="00541C4A">
          <w:rPr>
            <w:rStyle w:val="Hyperlink"/>
            <w:sz w:val="22"/>
            <w:szCs w:val="22"/>
          </w:rPr>
          <w:t>https://www.ahrq.gov/patient-safety/settings/emergency-dept/discharge-process.html</w:t>
        </w:r>
      </w:hyperlink>
      <w:r w:rsidR="00D92F70">
        <w:rPr>
          <w:color w:val="auto"/>
          <w:sz w:val="22"/>
          <w:szCs w:val="22"/>
        </w:rPr>
        <w:t xml:space="preserve"> </w:t>
      </w:r>
      <w:r>
        <w:rPr>
          <w:color w:val="auto"/>
          <w:sz w:val="22"/>
          <w:szCs w:val="22"/>
        </w:rPr>
        <w:t xml:space="preserve"> Rockville, MD, July 2017. </w:t>
      </w:r>
    </w:p>
    <w:p w14:paraId="2A152A8A" w14:textId="77777777" w:rsidR="00D92F70" w:rsidRDefault="00D92F70" w:rsidP="00640D8C">
      <w:pPr>
        <w:pStyle w:val="Default"/>
        <w:rPr>
          <w:color w:val="auto"/>
          <w:sz w:val="22"/>
          <w:szCs w:val="22"/>
        </w:rPr>
      </w:pPr>
    </w:p>
    <w:p w14:paraId="6E2609D1" w14:textId="513A09AD" w:rsidR="006D3D98" w:rsidRDefault="006D3D98" w:rsidP="006D3D98">
      <w:pPr>
        <w:pStyle w:val="Default"/>
        <w:rPr>
          <w:color w:val="auto"/>
          <w:sz w:val="22"/>
          <w:szCs w:val="22"/>
        </w:rPr>
      </w:pPr>
      <w:r>
        <w:rPr>
          <w:color w:val="auto"/>
          <w:sz w:val="22"/>
          <w:szCs w:val="22"/>
        </w:rPr>
        <w:t xml:space="preserve">Agency for Healthcare Research and Quality: Emergency Severity Index (ESI): A Triage Tool for Emergency Departments </w:t>
      </w:r>
      <w:hyperlink r:id="rId44" w:history="1">
        <w:r w:rsidR="00D92F70" w:rsidRPr="00541C4A">
          <w:rPr>
            <w:rStyle w:val="Hyperlink"/>
            <w:sz w:val="22"/>
            <w:szCs w:val="22"/>
          </w:rPr>
          <w:t>https://www.ahrq.gov/patient-safety/settings/emergency-dept/esi.html</w:t>
        </w:r>
      </w:hyperlink>
      <w:r w:rsidR="00D92F70">
        <w:rPr>
          <w:color w:val="auto"/>
          <w:sz w:val="22"/>
          <w:szCs w:val="22"/>
        </w:rPr>
        <w:t xml:space="preserve"> </w:t>
      </w:r>
      <w:r>
        <w:rPr>
          <w:color w:val="auto"/>
          <w:sz w:val="22"/>
          <w:szCs w:val="22"/>
        </w:rPr>
        <w:t xml:space="preserve"> Rockville, MD. </w:t>
      </w:r>
    </w:p>
    <w:p w14:paraId="3A92022C" w14:textId="77777777" w:rsidR="00D92F70" w:rsidRDefault="00D92F70" w:rsidP="006D3D98">
      <w:pPr>
        <w:pStyle w:val="Default"/>
        <w:rPr>
          <w:color w:val="auto"/>
          <w:sz w:val="22"/>
          <w:szCs w:val="22"/>
        </w:rPr>
      </w:pPr>
    </w:p>
    <w:p w14:paraId="44538140" w14:textId="343026EC" w:rsidR="006D3D98" w:rsidRDefault="006D3D98" w:rsidP="006D3D98">
      <w:pPr>
        <w:pStyle w:val="Default"/>
        <w:rPr>
          <w:color w:val="auto"/>
          <w:sz w:val="22"/>
          <w:szCs w:val="22"/>
        </w:rPr>
      </w:pPr>
      <w:r>
        <w:rPr>
          <w:color w:val="auto"/>
          <w:sz w:val="22"/>
          <w:szCs w:val="22"/>
        </w:rPr>
        <w:t xml:space="preserve">Agency for Healthcare Research and Quality: Project RED Re-Engineered Discharge Toolkit </w:t>
      </w:r>
      <w:hyperlink r:id="rId45" w:history="1">
        <w:r w:rsidR="00D92F70" w:rsidRPr="00541C4A">
          <w:rPr>
            <w:rStyle w:val="Hyperlink"/>
            <w:sz w:val="22"/>
            <w:szCs w:val="22"/>
          </w:rPr>
          <w:t>https://www.ahrq.gov/sites/default/files/publications/files/redtoolkit.pdf</w:t>
        </w:r>
      </w:hyperlink>
      <w:r w:rsidR="00D92F70">
        <w:rPr>
          <w:color w:val="auto"/>
          <w:sz w:val="22"/>
          <w:szCs w:val="22"/>
        </w:rPr>
        <w:t xml:space="preserve"> </w:t>
      </w:r>
      <w:r>
        <w:rPr>
          <w:color w:val="auto"/>
          <w:sz w:val="22"/>
          <w:szCs w:val="22"/>
        </w:rPr>
        <w:t xml:space="preserve"> Rockville, MD, March 2013. </w:t>
      </w:r>
    </w:p>
    <w:p w14:paraId="3651F876" w14:textId="77777777" w:rsidR="00D92F70" w:rsidRDefault="00D92F70" w:rsidP="006D3D98">
      <w:pPr>
        <w:pStyle w:val="Default"/>
        <w:rPr>
          <w:color w:val="auto"/>
          <w:sz w:val="22"/>
          <w:szCs w:val="22"/>
        </w:rPr>
      </w:pPr>
    </w:p>
    <w:p w14:paraId="5292447F" w14:textId="480E9111" w:rsidR="006D3D98" w:rsidRDefault="006D3D98" w:rsidP="006D3D98">
      <w:pPr>
        <w:pStyle w:val="Default"/>
        <w:rPr>
          <w:color w:val="auto"/>
          <w:sz w:val="22"/>
          <w:szCs w:val="22"/>
        </w:rPr>
      </w:pPr>
      <w:r>
        <w:rPr>
          <w:color w:val="auto"/>
          <w:sz w:val="22"/>
          <w:szCs w:val="22"/>
        </w:rPr>
        <w:t xml:space="preserve">Agency for Healthcare Research and Quality: AHRQ’s Safety Program for Nursing Homes: On-Time Preventable Hospital and Emergency Department Visits </w:t>
      </w:r>
      <w:hyperlink r:id="rId46" w:history="1">
        <w:r w:rsidR="00D92F70" w:rsidRPr="00541C4A">
          <w:rPr>
            <w:rStyle w:val="Hyperlink"/>
            <w:sz w:val="22"/>
            <w:szCs w:val="22"/>
          </w:rPr>
          <w:t>https://www.ahrq.gov/patient-safety/settings/long-term-care/resource/ontime/prevhosp/index.html</w:t>
        </w:r>
      </w:hyperlink>
      <w:r w:rsidR="00D92F70">
        <w:rPr>
          <w:color w:val="auto"/>
          <w:sz w:val="22"/>
          <w:szCs w:val="22"/>
        </w:rPr>
        <w:t xml:space="preserve"> </w:t>
      </w:r>
      <w:r>
        <w:rPr>
          <w:color w:val="auto"/>
          <w:sz w:val="22"/>
          <w:szCs w:val="22"/>
        </w:rPr>
        <w:t xml:space="preserve">, Rockville, MD, September 2017. </w:t>
      </w:r>
    </w:p>
    <w:p w14:paraId="71E0170F" w14:textId="77777777" w:rsidR="00D92F70" w:rsidRDefault="00D92F70" w:rsidP="006D3D98">
      <w:pPr>
        <w:pStyle w:val="Default"/>
        <w:rPr>
          <w:color w:val="auto"/>
          <w:sz w:val="22"/>
          <w:szCs w:val="22"/>
        </w:rPr>
      </w:pPr>
    </w:p>
    <w:p w14:paraId="505AAA95" w14:textId="6AF6E195" w:rsidR="006D3D98" w:rsidRDefault="006D3D98" w:rsidP="006D3D98">
      <w:pPr>
        <w:pStyle w:val="Default"/>
        <w:rPr>
          <w:color w:val="auto"/>
          <w:sz w:val="22"/>
          <w:szCs w:val="22"/>
        </w:rPr>
      </w:pPr>
      <w:r>
        <w:rPr>
          <w:color w:val="auto"/>
          <w:sz w:val="22"/>
          <w:szCs w:val="22"/>
        </w:rPr>
        <w:t xml:space="preserve">Agency for Healthcare Research and Quality: AHRQ’s Safety Program for Nursing Homes: On-Time Prevention </w:t>
      </w:r>
      <w:hyperlink r:id="rId47" w:history="1">
        <w:r w:rsidR="00D92F70" w:rsidRPr="00541C4A">
          <w:rPr>
            <w:rStyle w:val="Hyperlink"/>
            <w:sz w:val="22"/>
            <w:szCs w:val="22"/>
          </w:rPr>
          <w:t>https://www.ahrq.gov/patient-safety/settings/long-term-care/resource/ontime/overview.html</w:t>
        </w:r>
      </w:hyperlink>
      <w:r w:rsidR="00D92F70">
        <w:rPr>
          <w:color w:val="auto"/>
          <w:sz w:val="22"/>
          <w:szCs w:val="22"/>
        </w:rPr>
        <w:t xml:space="preserve"> </w:t>
      </w:r>
      <w:r>
        <w:rPr>
          <w:color w:val="auto"/>
          <w:sz w:val="22"/>
          <w:szCs w:val="22"/>
        </w:rPr>
        <w:t xml:space="preserve">, Rockville, MD, November 2017. </w:t>
      </w:r>
    </w:p>
    <w:p w14:paraId="1C3912D5" w14:textId="77777777" w:rsidR="00D92F70" w:rsidRDefault="00D92F70" w:rsidP="006D3D98">
      <w:pPr>
        <w:pStyle w:val="Default"/>
        <w:rPr>
          <w:color w:val="auto"/>
          <w:sz w:val="22"/>
          <w:szCs w:val="22"/>
        </w:rPr>
      </w:pPr>
    </w:p>
    <w:p w14:paraId="414EE5EE" w14:textId="22E0CA9C" w:rsidR="006D3D98" w:rsidRDefault="006D3D98" w:rsidP="006D3D98">
      <w:pPr>
        <w:pStyle w:val="Default"/>
        <w:rPr>
          <w:color w:val="auto"/>
          <w:sz w:val="22"/>
          <w:szCs w:val="22"/>
        </w:rPr>
      </w:pPr>
      <w:r>
        <w:rPr>
          <w:color w:val="auto"/>
          <w:sz w:val="22"/>
          <w:szCs w:val="22"/>
        </w:rPr>
        <w:t xml:space="preserve">Agency for Healthcare Research and Quality: TeamSTEPPS® Rapid Response Systems Guide, </w:t>
      </w:r>
      <w:hyperlink r:id="rId48" w:history="1">
        <w:r w:rsidR="00D92F70" w:rsidRPr="00541C4A">
          <w:rPr>
            <w:rStyle w:val="Hyperlink"/>
            <w:sz w:val="22"/>
            <w:szCs w:val="22"/>
          </w:rPr>
          <w:t>https://www.ahrq.gov/teamstepps/rrs/index.html</w:t>
        </w:r>
      </w:hyperlink>
      <w:r w:rsidR="00D92F70">
        <w:rPr>
          <w:color w:val="auto"/>
          <w:sz w:val="22"/>
          <w:szCs w:val="22"/>
        </w:rPr>
        <w:t xml:space="preserve"> </w:t>
      </w:r>
      <w:r>
        <w:rPr>
          <w:color w:val="auto"/>
          <w:sz w:val="22"/>
          <w:szCs w:val="22"/>
        </w:rPr>
        <w:t xml:space="preserve"> Rockville, MD, March 2019. </w:t>
      </w:r>
    </w:p>
    <w:p w14:paraId="24C97D58" w14:textId="77777777" w:rsidR="00D92F70" w:rsidRDefault="00D92F70" w:rsidP="006D3D98">
      <w:pPr>
        <w:pStyle w:val="Default"/>
        <w:rPr>
          <w:color w:val="auto"/>
          <w:sz w:val="22"/>
          <w:szCs w:val="22"/>
        </w:rPr>
      </w:pPr>
    </w:p>
    <w:p w14:paraId="13157F9C" w14:textId="77777777" w:rsidR="00D92F70" w:rsidRDefault="006D3D98" w:rsidP="006D3D98">
      <w:pPr>
        <w:pStyle w:val="Default"/>
        <w:rPr>
          <w:color w:val="auto"/>
          <w:sz w:val="22"/>
          <w:szCs w:val="22"/>
        </w:rPr>
      </w:pPr>
      <w:r>
        <w:rPr>
          <w:color w:val="auto"/>
          <w:sz w:val="22"/>
          <w:szCs w:val="22"/>
        </w:rPr>
        <w:t xml:space="preserve">American College of Cardiology: Quality Improvement for Institutions, Hospital to Home Program (H2H) </w:t>
      </w:r>
      <w:hyperlink r:id="rId49" w:anchor=":~:text=The%20Hospital%20to%20Home%20(H2H,associated%20with%20high%20readmission%20rates" w:history="1">
        <w:r w:rsidR="00D92F70" w:rsidRPr="00541C4A">
          <w:rPr>
            <w:rStyle w:val="Hyperlink"/>
            <w:sz w:val="22"/>
            <w:szCs w:val="22"/>
          </w:rPr>
          <w:t>https://cvquality.acc.org/initiatives/hospital-to-home#:~:text=The%20Hospital%20to%20Home%20(H2H,associated%20with%20high%20readmission%20rates</w:t>
        </w:r>
      </w:hyperlink>
      <w:r>
        <w:rPr>
          <w:color w:val="auto"/>
          <w:sz w:val="22"/>
          <w:szCs w:val="22"/>
        </w:rPr>
        <w:t>.</w:t>
      </w:r>
      <w:r w:rsidR="00D92F70">
        <w:rPr>
          <w:color w:val="auto"/>
          <w:sz w:val="22"/>
          <w:szCs w:val="22"/>
        </w:rPr>
        <w:t xml:space="preserve"> </w:t>
      </w:r>
    </w:p>
    <w:p w14:paraId="0AD7A019" w14:textId="18B5D768" w:rsidR="006D3D98" w:rsidRDefault="006D3D98" w:rsidP="006D3D98">
      <w:pPr>
        <w:pStyle w:val="Default"/>
        <w:rPr>
          <w:color w:val="auto"/>
          <w:sz w:val="22"/>
          <w:szCs w:val="22"/>
        </w:rPr>
      </w:pPr>
      <w:r>
        <w:rPr>
          <w:color w:val="auto"/>
          <w:sz w:val="22"/>
          <w:szCs w:val="22"/>
        </w:rPr>
        <w:t xml:space="preserve"> </w:t>
      </w:r>
    </w:p>
    <w:p w14:paraId="0D25A13F" w14:textId="4F3EB6E3" w:rsidR="006D3D98" w:rsidRDefault="006D3D98" w:rsidP="006D3D98">
      <w:pPr>
        <w:pStyle w:val="Default"/>
        <w:rPr>
          <w:color w:val="auto"/>
          <w:sz w:val="22"/>
          <w:szCs w:val="22"/>
        </w:rPr>
      </w:pPr>
      <w:r>
        <w:rPr>
          <w:color w:val="auto"/>
          <w:sz w:val="22"/>
          <w:szCs w:val="22"/>
        </w:rPr>
        <w:t xml:space="preserve">American Medical Association, There and Home Again, Safely: 5 Responsibilities of Ambulatory Practices in High Quality Care Transitions </w:t>
      </w:r>
      <w:hyperlink r:id="rId50" w:history="1">
        <w:r w:rsidR="00D92F70" w:rsidRPr="00541C4A">
          <w:rPr>
            <w:rStyle w:val="Hyperlink"/>
            <w:sz w:val="22"/>
            <w:szCs w:val="22"/>
          </w:rPr>
          <w:t>http://www.ama-assn.org/resources/doc/patient-safety/ambulatory-practices.pdf</w:t>
        </w:r>
      </w:hyperlink>
      <w:r w:rsidR="00D92F70">
        <w:rPr>
          <w:color w:val="auto"/>
          <w:sz w:val="22"/>
          <w:szCs w:val="22"/>
        </w:rPr>
        <w:t xml:space="preserve"> </w:t>
      </w:r>
      <w:r>
        <w:rPr>
          <w:color w:val="auto"/>
          <w:sz w:val="22"/>
          <w:szCs w:val="22"/>
        </w:rPr>
        <w:t xml:space="preserve"> 2013. </w:t>
      </w:r>
    </w:p>
    <w:p w14:paraId="33FB0958" w14:textId="77777777" w:rsidR="00D92F70" w:rsidRDefault="00D92F70" w:rsidP="006D3D98">
      <w:pPr>
        <w:pStyle w:val="Default"/>
        <w:rPr>
          <w:color w:val="auto"/>
          <w:sz w:val="22"/>
          <w:szCs w:val="22"/>
        </w:rPr>
      </w:pPr>
    </w:p>
    <w:p w14:paraId="3A9C58B3" w14:textId="77777777" w:rsidR="00D92F70" w:rsidRDefault="006D3D98" w:rsidP="006D3D98">
      <w:pPr>
        <w:pStyle w:val="Default"/>
        <w:rPr>
          <w:color w:val="auto"/>
          <w:sz w:val="22"/>
          <w:szCs w:val="22"/>
        </w:rPr>
      </w:pPr>
      <w:r>
        <w:rPr>
          <w:color w:val="auto"/>
          <w:sz w:val="22"/>
          <w:szCs w:val="22"/>
        </w:rPr>
        <w:t xml:space="preserve">Balasa D. “Medicare CCM and TCM Programs”, CMA Today, MarApr 2018 </w:t>
      </w:r>
      <w:hyperlink r:id="rId51" w:history="1">
        <w:r w:rsidR="00D92F70" w:rsidRPr="00541C4A">
          <w:rPr>
            <w:rStyle w:val="Hyperlink"/>
            <w:sz w:val="22"/>
            <w:szCs w:val="22"/>
          </w:rPr>
          <w:t>https://www.aama-ntl.org/docs/default-source/default-document-library/cmatoday-ma-2018-pa.pdf?sfvrsn=2</w:t>
        </w:r>
      </w:hyperlink>
      <w:r w:rsidR="00D92F70">
        <w:rPr>
          <w:color w:val="auto"/>
          <w:sz w:val="22"/>
          <w:szCs w:val="22"/>
        </w:rPr>
        <w:t xml:space="preserve"> </w:t>
      </w:r>
    </w:p>
    <w:p w14:paraId="77A7B045" w14:textId="6520E920" w:rsidR="006D3D98" w:rsidRDefault="006D3D98" w:rsidP="006D3D98">
      <w:pPr>
        <w:pStyle w:val="Default"/>
        <w:rPr>
          <w:color w:val="auto"/>
          <w:sz w:val="22"/>
          <w:szCs w:val="22"/>
        </w:rPr>
      </w:pPr>
      <w:r>
        <w:rPr>
          <w:color w:val="auto"/>
          <w:sz w:val="22"/>
          <w:szCs w:val="22"/>
        </w:rPr>
        <w:t xml:space="preserve"> </w:t>
      </w:r>
    </w:p>
    <w:p w14:paraId="772244B8" w14:textId="76D6EC73" w:rsidR="006D3D98" w:rsidRDefault="006D3D98" w:rsidP="006D3D98">
      <w:pPr>
        <w:pStyle w:val="Default"/>
        <w:rPr>
          <w:color w:val="auto"/>
          <w:sz w:val="22"/>
          <w:szCs w:val="22"/>
        </w:rPr>
      </w:pPr>
      <w:r>
        <w:rPr>
          <w:color w:val="auto"/>
          <w:sz w:val="22"/>
          <w:szCs w:val="22"/>
        </w:rPr>
        <w:t xml:space="preserve">Billings, J., Parikh, N., Mijanovich, T. Issue Brief: emergency Department Use in New York City: A Substitute for Primary Care? Commonwealth Fund </w:t>
      </w:r>
      <w:hyperlink r:id="rId52" w:history="1">
        <w:r w:rsidR="00D92F70" w:rsidRPr="00541C4A">
          <w:rPr>
            <w:rStyle w:val="Hyperlink"/>
            <w:sz w:val="22"/>
            <w:szCs w:val="22"/>
          </w:rPr>
          <w:t>https://www.commonwealthfund.org/sites/default/files/documents/___media_files_publications_issue_brief_2000_mar_emergency_department_use_in_new_york_city__a_substitute_for_primary_care_billings_eduse_433_pdf.pdf</w:t>
        </w:r>
      </w:hyperlink>
      <w:r w:rsidR="00D92F70">
        <w:rPr>
          <w:color w:val="auto"/>
          <w:sz w:val="22"/>
          <w:szCs w:val="22"/>
        </w:rPr>
        <w:t xml:space="preserve"> </w:t>
      </w:r>
      <w:r>
        <w:rPr>
          <w:color w:val="auto"/>
          <w:sz w:val="22"/>
          <w:szCs w:val="22"/>
        </w:rPr>
        <w:t xml:space="preserve"> November 2000. </w:t>
      </w:r>
    </w:p>
    <w:p w14:paraId="78B33835" w14:textId="2E39EA32" w:rsidR="006D3D98" w:rsidRDefault="006D3D98" w:rsidP="006D3D98">
      <w:pPr>
        <w:pStyle w:val="Default"/>
        <w:rPr>
          <w:color w:val="auto"/>
          <w:sz w:val="22"/>
          <w:szCs w:val="22"/>
        </w:rPr>
      </w:pPr>
      <w:r>
        <w:rPr>
          <w:color w:val="auto"/>
          <w:sz w:val="22"/>
          <w:szCs w:val="22"/>
        </w:rPr>
        <w:t xml:space="preserve">Boutwell, A. Hwu, S. Effective Interventions to Reduce Rehospitalizations: A Survey of the Published Evidence. Cambridge, MA: Institute for Healthcare Improvement; 2009 </w:t>
      </w:r>
    </w:p>
    <w:p w14:paraId="7EDA41B9" w14:textId="77777777" w:rsidR="00D92F70" w:rsidRDefault="00D92F70" w:rsidP="006D3D98">
      <w:pPr>
        <w:pStyle w:val="Default"/>
        <w:rPr>
          <w:color w:val="auto"/>
          <w:sz w:val="22"/>
          <w:szCs w:val="22"/>
        </w:rPr>
      </w:pPr>
    </w:p>
    <w:p w14:paraId="20CF125C" w14:textId="77777777" w:rsidR="00357B65" w:rsidRDefault="006D3D98" w:rsidP="006D3D98">
      <w:pPr>
        <w:pStyle w:val="Default"/>
        <w:rPr>
          <w:color w:val="auto"/>
          <w:sz w:val="22"/>
          <w:szCs w:val="22"/>
        </w:rPr>
      </w:pPr>
      <w:r>
        <w:rPr>
          <w:color w:val="auto"/>
          <w:sz w:val="22"/>
          <w:szCs w:val="22"/>
        </w:rPr>
        <w:t xml:space="preserve">Brown R.S., Peikes D., Peterson G., Schore J., Razafindrakoto C.M. “Six Features Of Medicare Coordinated Care Demonstration Programs That Cut Hospital Admissions Of High-Risk Patients” Health Affairs 31, No.6 (2012): 1156-1166 Available at: </w:t>
      </w:r>
      <w:hyperlink r:id="rId53" w:history="1">
        <w:r w:rsidR="00D92F70" w:rsidRPr="00541C4A">
          <w:rPr>
            <w:rStyle w:val="Hyperlink"/>
            <w:sz w:val="22"/>
            <w:szCs w:val="22"/>
          </w:rPr>
          <w:t>https://www.healthaffairs.org/doi/full/10.1377/hlthaff.2012.0393</w:t>
        </w:r>
      </w:hyperlink>
      <w:r w:rsidR="00D92F70">
        <w:rPr>
          <w:color w:val="auto"/>
          <w:sz w:val="22"/>
          <w:szCs w:val="22"/>
        </w:rPr>
        <w:t xml:space="preserve"> </w:t>
      </w:r>
    </w:p>
    <w:p w14:paraId="0E8042B7" w14:textId="37C1CC80" w:rsidR="006D3D98" w:rsidRDefault="006D3D98" w:rsidP="006D3D98">
      <w:pPr>
        <w:pStyle w:val="Default"/>
        <w:rPr>
          <w:color w:val="auto"/>
          <w:sz w:val="22"/>
          <w:szCs w:val="22"/>
        </w:rPr>
      </w:pPr>
      <w:r>
        <w:rPr>
          <w:color w:val="auto"/>
          <w:sz w:val="22"/>
          <w:szCs w:val="22"/>
        </w:rPr>
        <w:t xml:space="preserve"> </w:t>
      </w:r>
    </w:p>
    <w:p w14:paraId="66DA7AA9" w14:textId="77777777" w:rsidR="00357B65" w:rsidRDefault="006D3D98" w:rsidP="00357B65">
      <w:pPr>
        <w:pStyle w:val="Default"/>
        <w:rPr>
          <w:i/>
          <w:iCs/>
          <w:color w:val="auto"/>
          <w:sz w:val="22"/>
          <w:szCs w:val="22"/>
        </w:rPr>
      </w:pPr>
      <w:r>
        <w:rPr>
          <w:color w:val="auto"/>
          <w:sz w:val="22"/>
          <w:szCs w:val="22"/>
        </w:rPr>
        <w:t xml:space="preserve">Care Transitions Program: The Family Caregiver Activation in Transitions (FACT) Tool: </w:t>
      </w:r>
      <w:hyperlink r:id="rId54" w:history="1">
        <w:r w:rsidR="00357B65" w:rsidRPr="00541C4A">
          <w:rPr>
            <w:rStyle w:val="Hyperlink"/>
            <w:sz w:val="22"/>
            <w:szCs w:val="22"/>
          </w:rPr>
          <w:t>https://caretransitions.org/wp-content/uploads/2019/09/Family-Caregiver-Activation-in-Transitions-FCAT-tool.pdf</w:t>
        </w:r>
      </w:hyperlink>
      <w:r w:rsidR="00357B65">
        <w:rPr>
          <w:color w:val="auto"/>
          <w:sz w:val="22"/>
          <w:szCs w:val="22"/>
        </w:rPr>
        <w:t xml:space="preserve"> </w:t>
      </w:r>
      <w:r>
        <w:rPr>
          <w:color w:val="auto"/>
          <w:sz w:val="22"/>
          <w:szCs w:val="22"/>
        </w:rPr>
        <w:t xml:space="preserve">. </w:t>
      </w:r>
      <w:r w:rsidR="00357B65">
        <w:rPr>
          <w:i/>
          <w:iCs/>
          <w:color w:val="auto"/>
          <w:sz w:val="22"/>
          <w:szCs w:val="22"/>
        </w:rPr>
        <w:t xml:space="preserve"> </w:t>
      </w:r>
    </w:p>
    <w:p w14:paraId="3B2BD9B2" w14:textId="77777777" w:rsidR="00357B65" w:rsidRDefault="00357B65" w:rsidP="00357B65">
      <w:pPr>
        <w:pStyle w:val="Default"/>
        <w:rPr>
          <w:i/>
          <w:iCs/>
          <w:color w:val="auto"/>
          <w:sz w:val="22"/>
          <w:szCs w:val="22"/>
        </w:rPr>
      </w:pPr>
    </w:p>
    <w:p w14:paraId="247EF336" w14:textId="1C487250" w:rsidR="006D3D98" w:rsidRDefault="006D3D98" w:rsidP="00357B65">
      <w:pPr>
        <w:pStyle w:val="Default"/>
        <w:rPr>
          <w:color w:val="auto"/>
          <w:sz w:val="22"/>
          <w:szCs w:val="22"/>
        </w:rPr>
      </w:pPr>
      <w:r>
        <w:rPr>
          <w:color w:val="auto"/>
          <w:sz w:val="22"/>
          <w:szCs w:val="22"/>
        </w:rPr>
        <w:t xml:space="preserve">Care Transitions Program: Care Transitions Measure -3: </w:t>
      </w:r>
      <w:hyperlink r:id="rId55" w:history="1">
        <w:r w:rsidR="00357B65" w:rsidRPr="00541C4A">
          <w:rPr>
            <w:rStyle w:val="Hyperlink"/>
            <w:sz w:val="22"/>
            <w:szCs w:val="22"/>
          </w:rPr>
          <w:t>https://caretransitions.org/wp-content/uploads/2019/09/CTM-3.pdf</w:t>
        </w:r>
      </w:hyperlink>
      <w:r>
        <w:rPr>
          <w:color w:val="auto"/>
          <w:sz w:val="22"/>
          <w:szCs w:val="22"/>
        </w:rPr>
        <w:t>.</w:t>
      </w:r>
      <w:r w:rsidR="00357B65">
        <w:rPr>
          <w:color w:val="auto"/>
          <w:sz w:val="22"/>
          <w:szCs w:val="22"/>
        </w:rPr>
        <w:t xml:space="preserve"> </w:t>
      </w:r>
      <w:r>
        <w:rPr>
          <w:color w:val="auto"/>
          <w:sz w:val="22"/>
          <w:szCs w:val="22"/>
        </w:rPr>
        <w:t xml:space="preserve"> </w:t>
      </w:r>
    </w:p>
    <w:p w14:paraId="22563451" w14:textId="77777777" w:rsidR="00357B65" w:rsidRDefault="00357B65" w:rsidP="00357B65">
      <w:pPr>
        <w:pStyle w:val="Default"/>
        <w:rPr>
          <w:color w:val="auto"/>
          <w:sz w:val="22"/>
          <w:szCs w:val="22"/>
        </w:rPr>
      </w:pPr>
    </w:p>
    <w:p w14:paraId="3545341D" w14:textId="6021C551" w:rsidR="006D3D98" w:rsidRDefault="006D3D98" w:rsidP="006D3D98">
      <w:pPr>
        <w:pStyle w:val="Default"/>
        <w:rPr>
          <w:color w:val="auto"/>
          <w:sz w:val="22"/>
          <w:szCs w:val="22"/>
        </w:rPr>
      </w:pPr>
      <w:r>
        <w:rPr>
          <w:color w:val="auto"/>
          <w:sz w:val="22"/>
          <w:szCs w:val="22"/>
        </w:rPr>
        <w:t xml:space="preserve">Care Transitions Program: Scoring the Care Transitions Measure -3: </w:t>
      </w:r>
      <w:hyperlink r:id="rId56" w:history="1">
        <w:r w:rsidR="00357B65" w:rsidRPr="00541C4A">
          <w:rPr>
            <w:rStyle w:val="Hyperlink"/>
            <w:sz w:val="22"/>
            <w:szCs w:val="22"/>
          </w:rPr>
          <w:t>https://caretransitions.org/wp-content/uploads/2015/08/CTM-3-SCORING.pdf</w:t>
        </w:r>
      </w:hyperlink>
      <w:r>
        <w:rPr>
          <w:color w:val="auto"/>
          <w:sz w:val="22"/>
          <w:szCs w:val="22"/>
        </w:rPr>
        <w:t>.</w:t>
      </w:r>
      <w:r w:rsidR="00357B65">
        <w:rPr>
          <w:color w:val="auto"/>
          <w:sz w:val="22"/>
          <w:szCs w:val="22"/>
        </w:rPr>
        <w:t xml:space="preserve"> </w:t>
      </w:r>
      <w:r>
        <w:rPr>
          <w:color w:val="auto"/>
          <w:sz w:val="22"/>
          <w:szCs w:val="22"/>
        </w:rPr>
        <w:t xml:space="preserve"> </w:t>
      </w:r>
    </w:p>
    <w:p w14:paraId="0A9B8F9E" w14:textId="77777777" w:rsidR="00357B65" w:rsidRDefault="00357B65" w:rsidP="006D3D98">
      <w:pPr>
        <w:pStyle w:val="Default"/>
        <w:rPr>
          <w:color w:val="auto"/>
          <w:sz w:val="22"/>
          <w:szCs w:val="22"/>
        </w:rPr>
      </w:pPr>
    </w:p>
    <w:p w14:paraId="3AECF9AD" w14:textId="0045C1C8" w:rsidR="006D3D98" w:rsidRDefault="006D3D98" w:rsidP="006D3D98">
      <w:pPr>
        <w:pStyle w:val="Default"/>
        <w:rPr>
          <w:color w:val="auto"/>
          <w:sz w:val="22"/>
          <w:szCs w:val="22"/>
        </w:rPr>
      </w:pPr>
      <w:r>
        <w:rPr>
          <w:color w:val="auto"/>
          <w:sz w:val="22"/>
          <w:szCs w:val="22"/>
        </w:rPr>
        <w:t xml:space="preserve">Care Transitions Program: Care Transitions Measure -15: </w:t>
      </w:r>
      <w:hyperlink r:id="rId57" w:history="1">
        <w:r w:rsidR="00357B65" w:rsidRPr="00541C4A">
          <w:rPr>
            <w:rStyle w:val="Hyperlink"/>
            <w:sz w:val="22"/>
            <w:szCs w:val="22"/>
          </w:rPr>
          <w:t>https://caretransitions.org/wp-content/uploads/2019/09/CTM-15.pdf</w:t>
        </w:r>
      </w:hyperlink>
      <w:r w:rsidR="00357B65">
        <w:rPr>
          <w:color w:val="auto"/>
          <w:sz w:val="22"/>
          <w:szCs w:val="22"/>
        </w:rPr>
        <w:t xml:space="preserve"> </w:t>
      </w:r>
      <w:r>
        <w:rPr>
          <w:color w:val="auto"/>
          <w:sz w:val="22"/>
          <w:szCs w:val="22"/>
        </w:rPr>
        <w:t xml:space="preserve">. </w:t>
      </w:r>
      <w:r w:rsidR="00357B65">
        <w:rPr>
          <w:color w:val="auto"/>
          <w:sz w:val="22"/>
          <w:szCs w:val="22"/>
        </w:rPr>
        <w:t xml:space="preserve"> </w:t>
      </w:r>
    </w:p>
    <w:p w14:paraId="0F27D08E" w14:textId="77777777" w:rsidR="00357B65" w:rsidRDefault="00357B65" w:rsidP="006D3D98">
      <w:pPr>
        <w:pStyle w:val="Default"/>
        <w:rPr>
          <w:color w:val="auto"/>
          <w:sz w:val="22"/>
          <w:szCs w:val="22"/>
        </w:rPr>
      </w:pPr>
    </w:p>
    <w:p w14:paraId="7B28941C" w14:textId="207B77B4" w:rsidR="00357B65" w:rsidRDefault="006D3D98" w:rsidP="006D3D98">
      <w:pPr>
        <w:pStyle w:val="Default"/>
        <w:rPr>
          <w:color w:val="auto"/>
          <w:sz w:val="22"/>
          <w:szCs w:val="22"/>
        </w:rPr>
      </w:pPr>
      <w:r>
        <w:rPr>
          <w:color w:val="auto"/>
          <w:sz w:val="22"/>
          <w:szCs w:val="22"/>
        </w:rPr>
        <w:t xml:space="preserve">Care Transitions Program: Scoring the Care Transitions Measure -15: </w:t>
      </w:r>
      <w:hyperlink r:id="rId58" w:history="1">
        <w:r w:rsidR="00357B65" w:rsidRPr="00541C4A">
          <w:rPr>
            <w:rStyle w:val="Hyperlink"/>
            <w:sz w:val="22"/>
            <w:szCs w:val="22"/>
          </w:rPr>
          <w:t>https://caretransitions.org/wp-content/uploads/2015/08/CTM-15-SCORING.pdf</w:t>
        </w:r>
      </w:hyperlink>
      <w:r>
        <w:rPr>
          <w:color w:val="auto"/>
          <w:sz w:val="22"/>
          <w:szCs w:val="22"/>
        </w:rPr>
        <w:t>.</w:t>
      </w:r>
    </w:p>
    <w:p w14:paraId="30334414" w14:textId="0578823A" w:rsidR="006D3D98" w:rsidRDefault="006D3D98" w:rsidP="006D3D98">
      <w:pPr>
        <w:pStyle w:val="Default"/>
        <w:rPr>
          <w:color w:val="auto"/>
          <w:sz w:val="22"/>
          <w:szCs w:val="22"/>
        </w:rPr>
      </w:pPr>
      <w:r>
        <w:rPr>
          <w:color w:val="auto"/>
          <w:sz w:val="22"/>
          <w:szCs w:val="22"/>
        </w:rPr>
        <w:t xml:space="preserve"> </w:t>
      </w:r>
    </w:p>
    <w:p w14:paraId="39C79220" w14:textId="3BABF2CE" w:rsidR="006D3D98" w:rsidRDefault="006D3D98" w:rsidP="006D3D98">
      <w:pPr>
        <w:pStyle w:val="Default"/>
        <w:rPr>
          <w:color w:val="auto"/>
          <w:sz w:val="22"/>
          <w:szCs w:val="22"/>
        </w:rPr>
      </w:pPr>
      <w:r>
        <w:rPr>
          <w:color w:val="auto"/>
          <w:sz w:val="22"/>
          <w:szCs w:val="22"/>
        </w:rPr>
        <w:t xml:space="preserve">Case Management Society of America and National Association of Social Workers: Case Management Caseload Concept Paper, October 2008. </w:t>
      </w:r>
    </w:p>
    <w:p w14:paraId="4E8EAE70" w14:textId="77777777" w:rsidR="00357B65" w:rsidRDefault="00357B65" w:rsidP="006D3D98">
      <w:pPr>
        <w:pStyle w:val="Default"/>
        <w:rPr>
          <w:color w:val="auto"/>
          <w:sz w:val="22"/>
          <w:szCs w:val="22"/>
        </w:rPr>
      </w:pPr>
    </w:p>
    <w:p w14:paraId="383DADD1" w14:textId="52C6E437" w:rsidR="006D3D98" w:rsidRDefault="006D3D98" w:rsidP="006D3D98">
      <w:pPr>
        <w:pStyle w:val="Default"/>
        <w:rPr>
          <w:color w:val="auto"/>
          <w:sz w:val="22"/>
          <w:szCs w:val="22"/>
        </w:rPr>
      </w:pPr>
      <w:r>
        <w:rPr>
          <w:color w:val="auto"/>
          <w:sz w:val="22"/>
          <w:szCs w:val="22"/>
        </w:rPr>
        <w:t xml:space="preserve">Center for Disease Control: National Center for Health Statistics: Emergency Department Visits https://www.cdc.gov/nchs/fastats/emergency-department.htm April 2021. </w:t>
      </w:r>
    </w:p>
    <w:p w14:paraId="332DF08B" w14:textId="77777777" w:rsidR="00357B65" w:rsidRDefault="00357B65" w:rsidP="006D3D98">
      <w:pPr>
        <w:pStyle w:val="Default"/>
        <w:rPr>
          <w:color w:val="auto"/>
          <w:sz w:val="22"/>
          <w:szCs w:val="22"/>
        </w:rPr>
      </w:pPr>
    </w:p>
    <w:p w14:paraId="3141FCC0" w14:textId="41A54FA1" w:rsidR="006D3D98" w:rsidRDefault="006D3D98" w:rsidP="006D3D98">
      <w:pPr>
        <w:pStyle w:val="Default"/>
        <w:rPr>
          <w:color w:val="auto"/>
          <w:sz w:val="22"/>
          <w:szCs w:val="22"/>
        </w:rPr>
      </w:pPr>
      <w:r>
        <w:rPr>
          <w:color w:val="auto"/>
          <w:sz w:val="22"/>
          <w:szCs w:val="22"/>
        </w:rPr>
        <w:t xml:space="preserve">Center for Disease Control, National Center for Chronic Disease Prevention and Health Promotion/Division for Heart Disease and Stroke Prevention: States Implementing Community Health Worker Strategies Technical Assistance Guide, </w:t>
      </w:r>
      <w:hyperlink r:id="rId59" w:history="1">
        <w:r w:rsidR="00357B65" w:rsidRPr="00541C4A">
          <w:rPr>
            <w:rStyle w:val="Hyperlink"/>
            <w:sz w:val="22"/>
            <w:szCs w:val="22"/>
          </w:rPr>
          <w:t>https://www.cdc.gov/dhdsp/programs/spha/docs/1305_ta_guide_chws.pdf</w:t>
        </w:r>
      </w:hyperlink>
      <w:r w:rsidR="00357B65">
        <w:rPr>
          <w:color w:val="auto"/>
          <w:sz w:val="22"/>
          <w:szCs w:val="22"/>
        </w:rPr>
        <w:t xml:space="preserve"> </w:t>
      </w:r>
      <w:r>
        <w:rPr>
          <w:color w:val="auto"/>
          <w:sz w:val="22"/>
          <w:szCs w:val="22"/>
        </w:rPr>
        <w:t xml:space="preserve"> December 2014. </w:t>
      </w:r>
    </w:p>
    <w:p w14:paraId="7DECA59B" w14:textId="77777777" w:rsidR="00357B65" w:rsidRDefault="00357B65" w:rsidP="006D3D98">
      <w:pPr>
        <w:pStyle w:val="Default"/>
        <w:rPr>
          <w:color w:val="auto"/>
          <w:sz w:val="22"/>
          <w:szCs w:val="22"/>
        </w:rPr>
      </w:pPr>
    </w:p>
    <w:p w14:paraId="4B8A12B6" w14:textId="373E170E" w:rsidR="006D3D98" w:rsidRDefault="006D3D98" w:rsidP="006D3D98">
      <w:pPr>
        <w:pStyle w:val="Default"/>
        <w:rPr>
          <w:color w:val="auto"/>
          <w:sz w:val="22"/>
          <w:szCs w:val="22"/>
        </w:rPr>
      </w:pPr>
      <w:r>
        <w:rPr>
          <w:color w:val="auto"/>
          <w:sz w:val="22"/>
          <w:szCs w:val="22"/>
        </w:rPr>
        <w:t xml:space="preserve">Center for Medicare and Medicaid Services: Improving Care Transitions </w:t>
      </w:r>
      <w:hyperlink r:id="rId60" w:history="1">
        <w:r w:rsidR="00357B65" w:rsidRPr="00541C4A">
          <w:rPr>
            <w:rStyle w:val="Hyperlink"/>
            <w:sz w:val="22"/>
            <w:szCs w:val="22"/>
          </w:rPr>
          <w:t>https://www.medicaid.gov/medicaid/quality-of-care/quality-improvement-initiatives/improving-care-transitions/index.html</w:t>
        </w:r>
      </w:hyperlink>
      <w:r w:rsidR="00357B65">
        <w:rPr>
          <w:color w:val="auto"/>
          <w:sz w:val="22"/>
          <w:szCs w:val="22"/>
        </w:rPr>
        <w:t xml:space="preserve"> </w:t>
      </w:r>
      <w:r>
        <w:rPr>
          <w:color w:val="auto"/>
          <w:sz w:val="22"/>
          <w:szCs w:val="22"/>
        </w:rPr>
        <w:t xml:space="preserve"> Woodlawn, MD. </w:t>
      </w:r>
    </w:p>
    <w:p w14:paraId="64075497" w14:textId="77777777" w:rsidR="00357B65" w:rsidRDefault="00357B65" w:rsidP="006D3D98">
      <w:pPr>
        <w:pStyle w:val="Default"/>
        <w:rPr>
          <w:color w:val="auto"/>
          <w:sz w:val="22"/>
          <w:szCs w:val="22"/>
        </w:rPr>
      </w:pPr>
    </w:p>
    <w:p w14:paraId="0AFCBC78" w14:textId="77777777" w:rsidR="006D3D98" w:rsidRDefault="006D3D98" w:rsidP="006D3D98">
      <w:pPr>
        <w:pStyle w:val="Default"/>
        <w:rPr>
          <w:color w:val="auto"/>
          <w:sz w:val="22"/>
          <w:szCs w:val="22"/>
        </w:rPr>
      </w:pPr>
      <w:r>
        <w:rPr>
          <w:color w:val="auto"/>
          <w:sz w:val="22"/>
          <w:szCs w:val="22"/>
        </w:rPr>
        <w:t xml:space="preserve">Center for Medicare and Medicaid Services: Partnership for Patients https://innovation.cms.gov/innovation-models/partnership-for-patients Woodlawn, MD, May 2021. </w:t>
      </w:r>
    </w:p>
    <w:p w14:paraId="5F668539" w14:textId="1E0B7E48" w:rsidR="00357B65" w:rsidRDefault="006D3D98" w:rsidP="006D3D98">
      <w:pPr>
        <w:pStyle w:val="Default"/>
        <w:rPr>
          <w:color w:val="auto"/>
          <w:sz w:val="22"/>
          <w:szCs w:val="22"/>
        </w:rPr>
      </w:pPr>
      <w:r>
        <w:rPr>
          <w:color w:val="auto"/>
          <w:sz w:val="22"/>
          <w:szCs w:val="22"/>
        </w:rPr>
        <w:t xml:space="preserve">Collective Medical: Case Study Coordinating Care for Vulnerable and Complex Patient Populations </w:t>
      </w:r>
      <w:hyperlink r:id="rId61" w:history="1">
        <w:r w:rsidR="00357B65" w:rsidRPr="00541C4A">
          <w:rPr>
            <w:rStyle w:val="Hyperlink"/>
            <w:sz w:val="22"/>
            <w:szCs w:val="22"/>
          </w:rPr>
          <w:t>https://collectivemedical.com/</w:t>
        </w:r>
      </w:hyperlink>
    </w:p>
    <w:p w14:paraId="1CD6EDBC" w14:textId="08452343" w:rsidR="006D3D98" w:rsidRDefault="006D3D98" w:rsidP="006D3D98">
      <w:pPr>
        <w:pStyle w:val="Default"/>
        <w:rPr>
          <w:color w:val="auto"/>
          <w:sz w:val="22"/>
          <w:szCs w:val="22"/>
        </w:rPr>
      </w:pPr>
      <w:r>
        <w:rPr>
          <w:color w:val="auto"/>
          <w:sz w:val="22"/>
          <w:szCs w:val="22"/>
        </w:rPr>
        <w:t xml:space="preserve"> </w:t>
      </w:r>
    </w:p>
    <w:p w14:paraId="08B3FC93" w14:textId="35DEF94C" w:rsidR="00357B65" w:rsidRDefault="006D3D98" w:rsidP="006D3D98">
      <w:pPr>
        <w:pStyle w:val="Default"/>
        <w:rPr>
          <w:color w:val="auto"/>
          <w:sz w:val="22"/>
          <w:szCs w:val="22"/>
        </w:rPr>
      </w:pPr>
      <w:r>
        <w:rPr>
          <w:color w:val="auto"/>
          <w:sz w:val="22"/>
          <w:szCs w:val="22"/>
        </w:rPr>
        <w:t xml:space="preserve">Collective Medical: White Paper ED Optimization: Avoid Unnecessary Utilization, Reduce Costs, and Transform Patient Care </w:t>
      </w:r>
      <w:hyperlink r:id="rId62" w:history="1">
        <w:r w:rsidR="00357B65" w:rsidRPr="00541C4A">
          <w:rPr>
            <w:rStyle w:val="Hyperlink"/>
            <w:sz w:val="22"/>
            <w:szCs w:val="22"/>
          </w:rPr>
          <w:t>https://collectivemedical.com/</w:t>
        </w:r>
      </w:hyperlink>
    </w:p>
    <w:p w14:paraId="7C6B0A3A" w14:textId="39F86128" w:rsidR="006D3D98" w:rsidRDefault="006D3D98" w:rsidP="006D3D98">
      <w:pPr>
        <w:pStyle w:val="Default"/>
        <w:rPr>
          <w:color w:val="auto"/>
          <w:sz w:val="22"/>
          <w:szCs w:val="22"/>
        </w:rPr>
      </w:pPr>
      <w:r>
        <w:rPr>
          <w:color w:val="auto"/>
          <w:sz w:val="22"/>
          <w:szCs w:val="22"/>
        </w:rPr>
        <w:t xml:space="preserve"> </w:t>
      </w:r>
    </w:p>
    <w:p w14:paraId="31745778" w14:textId="2C209C02" w:rsidR="006D3D98" w:rsidRDefault="006D3D98" w:rsidP="006D3D98">
      <w:pPr>
        <w:pStyle w:val="Default"/>
        <w:rPr>
          <w:color w:val="auto"/>
          <w:sz w:val="22"/>
          <w:szCs w:val="22"/>
        </w:rPr>
      </w:pPr>
      <w:r>
        <w:rPr>
          <w:color w:val="auto"/>
          <w:sz w:val="22"/>
          <w:szCs w:val="22"/>
        </w:rPr>
        <w:t xml:space="preserve">Designing and Delivering Whole-Person Transitional Care: The Hospital Guide to Reducing Medicaid Readmissions. (Prepared by Collaborative Healthcare Strategies, Inc., and John Snow, Inc., under Contract No. HHSA290201000034I). Rockville, MD: Agency for Healthcare Research and Quality; September 2016. AHRQ Publication No. 16-0047-EF. Available at: </w:t>
      </w:r>
      <w:hyperlink r:id="rId63" w:history="1">
        <w:r w:rsidR="00357B65" w:rsidRPr="00541C4A">
          <w:rPr>
            <w:rStyle w:val="Hyperlink"/>
            <w:sz w:val="22"/>
            <w:szCs w:val="22"/>
          </w:rPr>
          <w:t>https://www.ahrq.gov/patient-safety/settings/hospital/resource/guide/index.html</w:t>
        </w:r>
      </w:hyperlink>
      <w:r>
        <w:rPr>
          <w:color w:val="auto"/>
          <w:sz w:val="22"/>
          <w:szCs w:val="22"/>
        </w:rPr>
        <w:t xml:space="preserve"> </w:t>
      </w:r>
    </w:p>
    <w:p w14:paraId="3B094CA9" w14:textId="77777777" w:rsidR="00357B65" w:rsidRDefault="00357B65" w:rsidP="006D3D98">
      <w:pPr>
        <w:pStyle w:val="Default"/>
        <w:rPr>
          <w:color w:val="auto"/>
          <w:sz w:val="22"/>
          <w:szCs w:val="22"/>
        </w:rPr>
      </w:pPr>
    </w:p>
    <w:p w14:paraId="574C6EEF" w14:textId="741264A9" w:rsidR="006D3D98" w:rsidRDefault="006D3D98" w:rsidP="006D3D98">
      <w:pPr>
        <w:pStyle w:val="Default"/>
        <w:rPr>
          <w:color w:val="auto"/>
          <w:sz w:val="22"/>
          <w:szCs w:val="22"/>
        </w:rPr>
      </w:pPr>
      <w:r>
        <w:rPr>
          <w:color w:val="auto"/>
          <w:sz w:val="22"/>
          <w:szCs w:val="22"/>
        </w:rPr>
        <w:t xml:space="preserve">EHR Intelligence. What It Means to Go Beyond ADT Notification Requirement: Part II. </w:t>
      </w:r>
      <w:hyperlink r:id="rId64" w:history="1">
        <w:r w:rsidR="00357B65" w:rsidRPr="00541C4A">
          <w:rPr>
            <w:rStyle w:val="Hyperlink"/>
            <w:sz w:val="22"/>
            <w:szCs w:val="22"/>
          </w:rPr>
          <w:t>https://ehrintelligence.com/news/what-it-means-to-go-beyond-adt-notification-requirement-part-ii</w:t>
        </w:r>
      </w:hyperlink>
      <w:r>
        <w:rPr>
          <w:color w:val="auto"/>
          <w:sz w:val="22"/>
          <w:szCs w:val="22"/>
        </w:rPr>
        <w:t>.</w:t>
      </w:r>
      <w:r w:rsidR="00357B65">
        <w:rPr>
          <w:color w:val="auto"/>
          <w:sz w:val="22"/>
          <w:szCs w:val="22"/>
        </w:rPr>
        <w:t xml:space="preserve"> </w:t>
      </w:r>
      <w:r>
        <w:rPr>
          <w:color w:val="auto"/>
          <w:sz w:val="22"/>
          <w:szCs w:val="22"/>
        </w:rPr>
        <w:t xml:space="preserve"> November 2020. </w:t>
      </w:r>
    </w:p>
    <w:p w14:paraId="00ACAE6B" w14:textId="77777777" w:rsidR="00357B65" w:rsidRDefault="00357B65" w:rsidP="006D3D98">
      <w:pPr>
        <w:pStyle w:val="Default"/>
        <w:rPr>
          <w:color w:val="auto"/>
          <w:sz w:val="22"/>
          <w:szCs w:val="22"/>
        </w:rPr>
      </w:pPr>
    </w:p>
    <w:p w14:paraId="2A48A696" w14:textId="7BABFEA2" w:rsidR="006D3D98" w:rsidRDefault="006D3D98" w:rsidP="006D3D98">
      <w:pPr>
        <w:pStyle w:val="Default"/>
        <w:rPr>
          <w:color w:val="auto"/>
          <w:sz w:val="22"/>
          <w:szCs w:val="22"/>
        </w:rPr>
      </w:pPr>
      <w:r>
        <w:rPr>
          <w:color w:val="auto"/>
          <w:sz w:val="22"/>
          <w:szCs w:val="22"/>
        </w:rPr>
        <w:t xml:space="preserve">Emergency Nurses Association: Emergency Severity Index </w:t>
      </w:r>
      <w:hyperlink r:id="rId65" w:history="1">
        <w:r w:rsidR="00357B65" w:rsidRPr="00541C4A">
          <w:rPr>
            <w:rStyle w:val="Hyperlink"/>
            <w:sz w:val="22"/>
            <w:szCs w:val="22"/>
          </w:rPr>
          <w:t>https://www.ena.org/education/esi</w:t>
        </w:r>
      </w:hyperlink>
      <w:r w:rsidR="00357B65">
        <w:rPr>
          <w:color w:val="auto"/>
          <w:sz w:val="22"/>
          <w:szCs w:val="22"/>
        </w:rPr>
        <w:t xml:space="preserve"> </w:t>
      </w:r>
      <w:r>
        <w:rPr>
          <w:color w:val="auto"/>
          <w:sz w:val="22"/>
          <w:szCs w:val="22"/>
        </w:rPr>
        <w:t xml:space="preserve">, 2021. </w:t>
      </w:r>
    </w:p>
    <w:p w14:paraId="10547CCD" w14:textId="77777777" w:rsidR="00357B65" w:rsidRDefault="00357B65" w:rsidP="006D3D98">
      <w:pPr>
        <w:pStyle w:val="Default"/>
        <w:rPr>
          <w:color w:val="auto"/>
          <w:sz w:val="22"/>
          <w:szCs w:val="22"/>
        </w:rPr>
      </w:pPr>
    </w:p>
    <w:p w14:paraId="1FD78CAE" w14:textId="0A8BCBCF" w:rsidR="00357B65" w:rsidRDefault="006D3D98" w:rsidP="006D3D98">
      <w:pPr>
        <w:pStyle w:val="Default"/>
        <w:rPr>
          <w:color w:val="auto"/>
          <w:sz w:val="22"/>
          <w:szCs w:val="22"/>
        </w:rPr>
      </w:pPr>
      <w:r>
        <w:rPr>
          <w:color w:val="auto"/>
          <w:sz w:val="22"/>
          <w:szCs w:val="22"/>
        </w:rPr>
        <w:t xml:space="preserve">Fraze T.K., Beidler L.B., Briggs A.D., Colla C.H., ‘Eyes In The Home’: ACOs Use Home Visits To Improve Care Management, Identify Needs, and Reduce Hospital Use, Health Affairs 38, No.6 (2019): 1021-1027. Available at </w:t>
      </w:r>
      <w:hyperlink r:id="rId66" w:history="1">
        <w:r w:rsidR="00357B65" w:rsidRPr="00541C4A">
          <w:rPr>
            <w:rStyle w:val="Hyperlink"/>
            <w:sz w:val="22"/>
            <w:szCs w:val="22"/>
          </w:rPr>
          <w:t>https://www.healthaffairs.org/doi/10.1377/hlthaff.2019.00003</w:t>
        </w:r>
      </w:hyperlink>
    </w:p>
    <w:p w14:paraId="402B8137" w14:textId="14446B5D" w:rsidR="006D3D98" w:rsidRDefault="006D3D98" w:rsidP="006D3D98">
      <w:pPr>
        <w:pStyle w:val="Default"/>
        <w:rPr>
          <w:color w:val="auto"/>
          <w:sz w:val="22"/>
          <w:szCs w:val="22"/>
        </w:rPr>
      </w:pPr>
      <w:r>
        <w:rPr>
          <w:color w:val="auto"/>
          <w:sz w:val="22"/>
          <w:szCs w:val="22"/>
        </w:rPr>
        <w:t xml:space="preserve"> </w:t>
      </w:r>
    </w:p>
    <w:p w14:paraId="2AA01633" w14:textId="083D29F2" w:rsidR="00357B65" w:rsidRDefault="006D3D98" w:rsidP="00357B65">
      <w:pPr>
        <w:pStyle w:val="Default"/>
        <w:rPr>
          <w:i/>
          <w:iCs/>
          <w:color w:val="auto"/>
          <w:sz w:val="22"/>
          <w:szCs w:val="22"/>
        </w:rPr>
      </w:pPr>
      <w:r>
        <w:rPr>
          <w:color w:val="auto"/>
          <w:sz w:val="22"/>
          <w:szCs w:val="22"/>
        </w:rPr>
        <w:t xml:space="preserve">George Washington University School of Medicine Ronald Regan Institute of Emergency Medicine: Urgent Matters </w:t>
      </w:r>
      <w:hyperlink r:id="rId67" w:history="1">
        <w:r w:rsidR="00357B65" w:rsidRPr="00541C4A">
          <w:rPr>
            <w:rStyle w:val="Hyperlink"/>
            <w:sz w:val="22"/>
            <w:szCs w:val="22"/>
          </w:rPr>
          <w:t>https://smhs.gwu.edu/urgentmatters/</w:t>
        </w:r>
      </w:hyperlink>
      <w:r w:rsidR="00357B65">
        <w:rPr>
          <w:color w:val="auto"/>
          <w:sz w:val="22"/>
          <w:szCs w:val="22"/>
        </w:rPr>
        <w:t xml:space="preserve"> </w:t>
      </w:r>
      <w:r>
        <w:rPr>
          <w:color w:val="auto"/>
          <w:sz w:val="22"/>
          <w:szCs w:val="22"/>
        </w:rPr>
        <w:t xml:space="preserve"> Washington, DC </w:t>
      </w:r>
    </w:p>
    <w:p w14:paraId="0A532050" w14:textId="77777777" w:rsidR="00357B65" w:rsidRDefault="00357B65" w:rsidP="00357B65">
      <w:pPr>
        <w:pStyle w:val="Default"/>
        <w:rPr>
          <w:i/>
          <w:iCs/>
          <w:color w:val="auto"/>
          <w:sz w:val="22"/>
          <w:szCs w:val="22"/>
        </w:rPr>
      </w:pPr>
    </w:p>
    <w:p w14:paraId="0DB03000" w14:textId="5A806297" w:rsidR="006D3D98" w:rsidRDefault="006D3D98" w:rsidP="00357B65">
      <w:pPr>
        <w:pStyle w:val="Default"/>
        <w:rPr>
          <w:color w:val="auto"/>
          <w:sz w:val="22"/>
          <w:szCs w:val="22"/>
        </w:rPr>
      </w:pPr>
      <w:r>
        <w:rPr>
          <w:color w:val="auto"/>
          <w:sz w:val="22"/>
          <w:szCs w:val="22"/>
        </w:rPr>
        <w:t xml:space="preserve">Hirschman, K., Shaid, E., McCauley, K., Pauly, M., Naylor, M., (September 30, 2015) "Continuity of Care: The Transitional Care Model" </w:t>
      </w:r>
      <w:r>
        <w:rPr>
          <w:i/>
          <w:iCs/>
          <w:color w:val="auto"/>
          <w:sz w:val="22"/>
          <w:szCs w:val="22"/>
        </w:rPr>
        <w:t xml:space="preserve">OJIN: The Online Journal of Issues in Nursing </w:t>
      </w:r>
      <w:r>
        <w:rPr>
          <w:color w:val="auto"/>
          <w:sz w:val="22"/>
          <w:szCs w:val="22"/>
        </w:rPr>
        <w:t xml:space="preserve">Vol. 20, No. 3, Manuscript 1. </w:t>
      </w:r>
    </w:p>
    <w:p w14:paraId="40368F49" w14:textId="77777777" w:rsidR="00A677C4" w:rsidRDefault="006D3D98" w:rsidP="006D3D98">
      <w:pPr>
        <w:pStyle w:val="Default"/>
        <w:rPr>
          <w:color w:val="auto"/>
          <w:sz w:val="22"/>
          <w:szCs w:val="22"/>
        </w:rPr>
      </w:pPr>
      <w:r>
        <w:rPr>
          <w:color w:val="auto"/>
          <w:sz w:val="22"/>
          <w:szCs w:val="22"/>
        </w:rPr>
        <w:t xml:space="preserve">DOI: 10.3912/OJIN.Vol20No03Man01 Available at: </w:t>
      </w:r>
      <w:hyperlink r:id="rId68" w:history="1">
        <w:r w:rsidR="008D31EA" w:rsidRPr="00541C4A">
          <w:rPr>
            <w:rStyle w:val="Hyperlink"/>
            <w:sz w:val="22"/>
            <w:szCs w:val="22"/>
          </w:rPr>
          <w:t>http://ojin.nursingworld.org/MainMenuCategories/ANAMarketplace/ANAPeriodicals/OJIN/TableofContents/Vol-20-2015/No3-Sept-2015/Continuity-of-Care-Transitional-Care-Model.html</w:t>
        </w:r>
      </w:hyperlink>
      <w:r w:rsidR="008D31EA">
        <w:rPr>
          <w:color w:val="auto"/>
          <w:sz w:val="22"/>
          <w:szCs w:val="22"/>
        </w:rPr>
        <w:t xml:space="preserve"> </w:t>
      </w:r>
    </w:p>
    <w:p w14:paraId="3B2E250D" w14:textId="658BD350" w:rsidR="006D3D98" w:rsidRDefault="006D3D98" w:rsidP="006D3D98">
      <w:pPr>
        <w:pStyle w:val="Default"/>
        <w:rPr>
          <w:color w:val="auto"/>
          <w:sz w:val="22"/>
          <w:szCs w:val="22"/>
        </w:rPr>
      </w:pPr>
      <w:r>
        <w:rPr>
          <w:color w:val="auto"/>
          <w:sz w:val="22"/>
          <w:szCs w:val="22"/>
        </w:rPr>
        <w:t xml:space="preserve"> </w:t>
      </w:r>
      <w:r w:rsidR="008D31EA">
        <w:rPr>
          <w:color w:val="auto"/>
          <w:sz w:val="22"/>
          <w:szCs w:val="22"/>
        </w:rPr>
        <w:t xml:space="preserve"> </w:t>
      </w:r>
    </w:p>
    <w:p w14:paraId="3C67217B" w14:textId="77777777" w:rsidR="00A677C4" w:rsidRDefault="006D3D98" w:rsidP="006D3D98">
      <w:pPr>
        <w:pStyle w:val="Default"/>
        <w:rPr>
          <w:color w:val="auto"/>
          <w:sz w:val="22"/>
          <w:szCs w:val="22"/>
        </w:rPr>
      </w:pPr>
      <w:r>
        <w:rPr>
          <w:color w:val="auto"/>
          <w:sz w:val="22"/>
          <w:szCs w:val="22"/>
        </w:rPr>
        <w:t xml:space="preserve">Health Research &amp; Educational Trust (June 2018). </w:t>
      </w:r>
      <w:r>
        <w:rPr>
          <w:i/>
          <w:iCs/>
          <w:color w:val="auto"/>
          <w:sz w:val="22"/>
          <w:szCs w:val="22"/>
        </w:rPr>
        <w:t xml:space="preserve">Preventable Readmissions Change Package: 2018 Update. </w:t>
      </w:r>
      <w:r>
        <w:rPr>
          <w:color w:val="auto"/>
          <w:sz w:val="22"/>
          <w:szCs w:val="22"/>
        </w:rPr>
        <w:t xml:space="preserve">Chicago, IL: Health Research &amp; Educational Trust. Accessed at </w:t>
      </w:r>
      <w:hyperlink r:id="rId69" w:history="1">
        <w:r w:rsidR="00A677C4" w:rsidRPr="00541C4A">
          <w:rPr>
            <w:rStyle w:val="Hyperlink"/>
            <w:sz w:val="22"/>
            <w:szCs w:val="22"/>
          </w:rPr>
          <w:t>http://www.hret-hiin.org/</w:t>
        </w:r>
      </w:hyperlink>
      <w:r w:rsidR="00A677C4">
        <w:rPr>
          <w:color w:val="auto"/>
          <w:sz w:val="22"/>
          <w:szCs w:val="22"/>
        </w:rPr>
        <w:t xml:space="preserve"> </w:t>
      </w:r>
      <w:r>
        <w:rPr>
          <w:color w:val="auto"/>
          <w:sz w:val="22"/>
          <w:szCs w:val="22"/>
        </w:rPr>
        <w:t xml:space="preserve">. Accessible at: </w:t>
      </w:r>
      <w:hyperlink r:id="rId70" w:history="1">
        <w:r w:rsidR="00A677C4" w:rsidRPr="00541C4A">
          <w:rPr>
            <w:rStyle w:val="Hyperlink"/>
            <w:sz w:val="22"/>
            <w:szCs w:val="22"/>
          </w:rPr>
          <w:t>http://www.hret-hiin.org/</w:t>
        </w:r>
      </w:hyperlink>
      <w:r w:rsidR="00A677C4">
        <w:rPr>
          <w:color w:val="auto"/>
          <w:sz w:val="22"/>
          <w:szCs w:val="22"/>
        </w:rPr>
        <w:t xml:space="preserve"> </w:t>
      </w:r>
    </w:p>
    <w:p w14:paraId="74502E46" w14:textId="10BCF747" w:rsidR="006D3D98" w:rsidRDefault="006D3D98" w:rsidP="006D3D98">
      <w:pPr>
        <w:pStyle w:val="Default"/>
        <w:rPr>
          <w:color w:val="auto"/>
          <w:sz w:val="22"/>
          <w:szCs w:val="22"/>
        </w:rPr>
      </w:pPr>
      <w:r>
        <w:rPr>
          <w:color w:val="auto"/>
          <w:sz w:val="22"/>
          <w:szCs w:val="22"/>
        </w:rPr>
        <w:t xml:space="preserve"> </w:t>
      </w:r>
    </w:p>
    <w:p w14:paraId="430C295E" w14:textId="679DA061" w:rsidR="006D3D98" w:rsidRDefault="006D3D98" w:rsidP="006D3D98">
      <w:pPr>
        <w:pStyle w:val="Default"/>
        <w:rPr>
          <w:color w:val="auto"/>
          <w:sz w:val="22"/>
          <w:szCs w:val="22"/>
        </w:rPr>
      </w:pPr>
      <w:r>
        <w:rPr>
          <w:color w:val="auto"/>
          <w:sz w:val="22"/>
          <w:szCs w:val="22"/>
        </w:rPr>
        <w:t xml:space="preserve">Institute for Healthcare Improvement: Transforming Care at The Bedside </w:t>
      </w:r>
      <w:hyperlink r:id="rId71" w:history="1">
        <w:r w:rsidR="00A677C4" w:rsidRPr="00541C4A">
          <w:rPr>
            <w:rStyle w:val="Hyperlink"/>
            <w:sz w:val="22"/>
            <w:szCs w:val="22"/>
          </w:rPr>
          <w:t>http://www.ihi.org/Engage/Initiatives/Completed/TCAB/Pages/default.aspx</w:t>
        </w:r>
      </w:hyperlink>
      <w:r w:rsidR="00A677C4">
        <w:rPr>
          <w:color w:val="auto"/>
          <w:sz w:val="22"/>
          <w:szCs w:val="22"/>
        </w:rPr>
        <w:t xml:space="preserve"> </w:t>
      </w:r>
      <w:r>
        <w:rPr>
          <w:color w:val="auto"/>
          <w:sz w:val="22"/>
          <w:szCs w:val="22"/>
        </w:rPr>
        <w:t xml:space="preserve"> Cambridge, MA. </w:t>
      </w:r>
    </w:p>
    <w:p w14:paraId="15E08B31" w14:textId="77777777" w:rsidR="00FE2E83" w:rsidRDefault="006D3D98" w:rsidP="006D3D98">
      <w:pPr>
        <w:pStyle w:val="Default"/>
        <w:rPr>
          <w:color w:val="auto"/>
          <w:sz w:val="22"/>
          <w:szCs w:val="22"/>
        </w:rPr>
      </w:pPr>
      <w:r>
        <w:rPr>
          <w:color w:val="auto"/>
          <w:sz w:val="22"/>
          <w:szCs w:val="22"/>
        </w:rPr>
        <w:t xml:space="preserve">Lowe, R., Fu, R., Ong, E., McGinnis, P., Fagnan, L., Vuckovic, N., Gallia, C., Community Characteristics </w:t>
      </w:r>
    </w:p>
    <w:p w14:paraId="13861C20" w14:textId="77777777" w:rsidR="00FE2E83" w:rsidRDefault="00FE2E83" w:rsidP="006D3D98">
      <w:pPr>
        <w:pStyle w:val="Default"/>
        <w:rPr>
          <w:color w:val="auto"/>
          <w:sz w:val="22"/>
          <w:szCs w:val="22"/>
        </w:rPr>
      </w:pPr>
    </w:p>
    <w:p w14:paraId="449BD164" w14:textId="36ECEA43" w:rsidR="006D3D98" w:rsidRDefault="006D3D98" w:rsidP="006D3D98">
      <w:pPr>
        <w:pStyle w:val="Default"/>
        <w:rPr>
          <w:color w:val="auto"/>
          <w:sz w:val="22"/>
          <w:szCs w:val="22"/>
        </w:rPr>
      </w:pPr>
      <w:r>
        <w:rPr>
          <w:color w:val="auto"/>
          <w:sz w:val="22"/>
          <w:szCs w:val="22"/>
        </w:rPr>
        <w:t xml:space="preserve">Affecting Emergency Department Use by Medicaid Enrollees, Medical Care: January 2009 - Volume 47 - Issue 1 - p 15-22 doi: 10.1097/MLR.0b013e3181844e1c Available at: </w:t>
      </w:r>
      <w:hyperlink r:id="rId72" w:history="1">
        <w:r w:rsidR="00FE2E83" w:rsidRPr="00541C4A">
          <w:rPr>
            <w:rStyle w:val="Hyperlink"/>
            <w:sz w:val="22"/>
            <w:szCs w:val="22"/>
          </w:rPr>
          <w:t>https://pubmed.ncbi.nlm.nih.gov/19106726/</w:t>
        </w:r>
      </w:hyperlink>
      <w:r w:rsidR="00FE2E83">
        <w:rPr>
          <w:color w:val="auto"/>
          <w:sz w:val="22"/>
          <w:szCs w:val="22"/>
        </w:rPr>
        <w:t xml:space="preserve"> </w:t>
      </w:r>
      <w:r>
        <w:rPr>
          <w:color w:val="auto"/>
          <w:sz w:val="22"/>
          <w:szCs w:val="22"/>
        </w:rPr>
        <w:t xml:space="preserve"> </w:t>
      </w:r>
    </w:p>
    <w:p w14:paraId="732E107B" w14:textId="77777777" w:rsidR="00FE2E83" w:rsidRDefault="006D3D98" w:rsidP="006D3D98">
      <w:pPr>
        <w:pStyle w:val="Default"/>
        <w:rPr>
          <w:color w:val="auto"/>
          <w:sz w:val="22"/>
          <w:szCs w:val="22"/>
        </w:rPr>
      </w:pPr>
      <w:r>
        <w:rPr>
          <w:color w:val="auto"/>
          <w:sz w:val="22"/>
          <w:szCs w:val="22"/>
        </w:rPr>
        <w:t xml:space="preserve">Lowell, Kristina Hanson. NORC at the University of Chicago. Third Evaluation Report: Next Generation </w:t>
      </w:r>
    </w:p>
    <w:p w14:paraId="7EB7D55A" w14:textId="77777777" w:rsidR="00FE2E83" w:rsidRDefault="00FE2E83" w:rsidP="006D3D98">
      <w:pPr>
        <w:pStyle w:val="Default"/>
        <w:rPr>
          <w:color w:val="auto"/>
          <w:sz w:val="22"/>
          <w:szCs w:val="22"/>
        </w:rPr>
      </w:pPr>
    </w:p>
    <w:p w14:paraId="28BCC5CB" w14:textId="5D0A09FB" w:rsidR="006D3D98" w:rsidRDefault="006D3D98" w:rsidP="006D3D98">
      <w:pPr>
        <w:pStyle w:val="Default"/>
        <w:rPr>
          <w:color w:val="auto"/>
          <w:sz w:val="22"/>
          <w:szCs w:val="22"/>
        </w:rPr>
      </w:pPr>
      <w:r>
        <w:rPr>
          <w:color w:val="auto"/>
          <w:sz w:val="22"/>
          <w:szCs w:val="22"/>
        </w:rPr>
        <w:t xml:space="preserve">Accountable Care Organization Model Evaluation. </w:t>
      </w:r>
      <w:hyperlink r:id="rId73" w:history="1">
        <w:r w:rsidR="00FE2E83" w:rsidRPr="00541C4A">
          <w:rPr>
            <w:rStyle w:val="Hyperlink"/>
            <w:sz w:val="22"/>
            <w:szCs w:val="22"/>
          </w:rPr>
          <w:t>https://innovation.cms.gov/data-and-reports/2020/nextgenaco-thirdevalrpt-fullreport</w:t>
        </w:r>
      </w:hyperlink>
      <w:r w:rsidR="00FE2E83">
        <w:rPr>
          <w:color w:val="auto"/>
          <w:sz w:val="22"/>
          <w:szCs w:val="22"/>
        </w:rPr>
        <w:t xml:space="preserve"> </w:t>
      </w:r>
      <w:r>
        <w:rPr>
          <w:color w:val="auto"/>
          <w:sz w:val="22"/>
          <w:szCs w:val="22"/>
        </w:rPr>
        <w:t xml:space="preserve"> September 2020. </w:t>
      </w:r>
    </w:p>
    <w:p w14:paraId="652DB880" w14:textId="77777777" w:rsidR="00FE2E83" w:rsidRDefault="00FE2E83" w:rsidP="006D3D98">
      <w:pPr>
        <w:pStyle w:val="Default"/>
        <w:rPr>
          <w:color w:val="auto"/>
          <w:sz w:val="22"/>
          <w:szCs w:val="22"/>
        </w:rPr>
      </w:pPr>
    </w:p>
    <w:p w14:paraId="6CFCB5C4" w14:textId="7EF25474" w:rsidR="006D3D98" w:rsidRDefault="006D3D98" w:rsidP="006D3D98">
      <w:pPr>
        <w:pStyle w:val="Default"/>
        <w:rPr>
          <w:color w:val="auto"/>
          <w:sz w:val="22"/>
          <w:szCs w:val="22"/>
        </w:rPr>
      </w:pPr>
      <w:r>
        <w:rPr>
          <w:color w:val="auto"/>
          <w:sz w:val="22"/>
          <w:szCs w:val="22"/>
        </w:rPr>
        <w:t xml:space="preserve">Massachusetts Department of Public Health: Achieving the Triple Aim: Success with Community Health Workers, </w:t>
      </w:r>
      <w:hyperlink r:id="rId74" w:history="1">
        <w:r w:rsidR="00FE2E83" w:rsidRPr="00541C4A">
          <w:rPr>
            <w:rStyle w:val="Hyperlink"/>
            <w:sz w:val="22"/>
            <w:szCs w:val="22"/>
          </w:rPr>
          <w:t>https://www.mass.gov/doc/achieving-the-triple-aim-success-with-community-health-workers-0/download</w:t>
        </w:r>
      </w:hyperlink>
      <w:r w:rsidR="00FE2E83">
        <w:rPr>
          <w:color w:val="auto"/>
          <w:sz w:val="22"/>
          <w:szCs w:val="22"/>
        </w:rPr>
        <w:t xml:space="preserve"> </w:t>
      </w:r>
      <w:r>
        <w:rPr>
          <w:color w:val="auto"/>
          <w:sz w:val="22"/>
          <w:szCs w:val="22"/>
        </w:rPr>
        <w:t xml:space="preserve"> May 2015. </w:t>
      </w:r>
    </w:p>
    <w:p w14:paraId="319EE96B" w14:textId="77777777" w:rsidR="00FE2E83" w:rsidRDefault="00FE2E83" w:rsidP="006D3D98">
      <w:pPr>
        <w:pStyle w:val="Default"/>
        <w:rPr>
          <w:color w:val="auto"/>
          <w:sz w:val="22"/>
          <w:szCs w:val="22"/>
        </w:rPr>
      </w:pPr>
    </w:p>
    <w:p w14:paraId="35D602CF" w14:textId="6AF1E35E" w:rsidR="006D3D98" w:rsidRDefault="006D3D98" w:rsidP="006D3D98">
      <w:pPr>
        <w:pStyle w:val="Default"/>
        <w:rPr>
          <w:color w:val="auto"/>
          <w:sz w:val="22"/>
          <w:szCs w:val="22"/>
        </w:rPr>
      </w:pPr>
      <w:r>
        <w:rPr>
          <w:color w:val="auto"/>
          <w:sz w:val="22"/>
          <w:szCs w:val="22"/>
        </w:rPr>
        <w:t xml:space="preserve">Massachusetts Board of Registration in Nursing, Nursing Practice </w:t>
      </w:r>
      <w:hyperlink r:id="rId75" w:history="1">
        <w:r w:rsidR="00FE2E83" w:rsidRPr="00541C4A">
          <w:rPr>
            <w:rStyle w:val="Hyperlink"/>
            <w:sz w:val="22"/>
            <w:szCs w:val="22"/>
          </w:rPr>
          <w:t>https://www.mass.gov/nursing-practice</w:t>
        </w:r>
      </w:hyperlink>
      <w:r w:rsidR="00FE2E83">
        <w:rPr>
          <w:color w:val="auto"/>
          <w:sz w:val="22"/>
          <w:szCs w:val="22"/>
        </w:rPr>
        <w:t xml:space="preserve"> </w:t>
      </w:r>
      <w:r>
        <w:rPr>
          <w:color w:val="auto"/>
          <w:sz w:val="22"/>
          <w:szCs w:val="22"/>
        </w:rPr>
        <w:t xml:space="preserve"> and </w:t>
      </w:r>
      <w:hyperlink r:id="rId76" w:history="1">
        <w:r w:rsidR="00FE2E83" w:rsidRPr="00541C4A">
          <w:rPr>
            <w:rStyle w:val="Hyperlink"/>
            <w:sz w:val="22"/>
            <w:szCs w:val="22"/>
          </w:rPr>
          <w:t>https://www.mass.gov/service-details/learn-about-the-nursing-scope-of-practice</w:t>
        </w:r>
      </w:hyperlink>
      <w:r w:rsidR="00FE2E83">
        <w:rPr>
          <w:color w:val="auto"/>
          <w:sz w:val="22"/>
          <w:szCs w:val="22"/>
        </w:rPr>
        <w:t xml:space="preserve"> </w:t>
      </w:r>
      <w:r>
        <w:rPr>
          <w:color w:val="auto"/>
          <w:sz w:val="22"/>
          <w:szCs w:val="22"/>
        </w:rPr>
        <w:t xml:space="preserve"> </w:t>
      </w:r>
    </w:p>
    <w:p w14:paraId="6E369A89" w14:textId="275EDBDC" w:rsidR="006D3D98" w:rsidRDefault="006D3D98" w:rsidP="006D3D98">
      <w:pPr>
        <w:pStyle w:val="Default"/>
        <w:rPr>
          <w:color w:val="auto"/>
          <w:sz w:val="22"/>
          <w:szCs w:val="22"/>
        </w:rPr>
      </w:pPr>
      <w:r>
        <w:rPr>
          <w:color w:val="auto"/>
          <w:sz w:val="22"/>
          <w:szCs w:val="22"/>
        </w:rPr>
        <w:t xml:space="preserve">Massachusetts Recovery Coach Commission presentation </w:t>
      </w:r>
      <w:hyperlink r:id="rId77" w:history="1">
        <w:r w:rsidR="00FE2E83" w:rsidRPr="00541C4A">
          <w:rPr>
            <w:rStyle w:val="Hyperlink"/>
            <w:sz w:val="22"/>
            <w:szCs w:val="22"/>
          </w:rPr>
          <w:t>https://www.mass.gov/lists/recovery-coach-commission-report</w:t>
        </w:r>
      </w:hyperlink>
      <w:r w:rsidR="00FE2E83">
        <w:rPr>
          <w:color w:val="auto"/>
          <w:sz w:val="22"/>
          <w:szCs w:val="22"/>
        </w:rPr>
        <w:t xml:space="preserve"> </w:t>
      </w:r>
      <w:r>
        <w:rPr>
          <w:color w:val="auto"/>
          <w:sz w:val="22"/>
          <w:szCs w:val="22"/>
        </w:rPr>
        <w:t xml:space="preserve"> August 2019. </w:t>
      </w:r>
    </w:p>
    <w:p w14:paraId="7D25560B" w14:textId="77777777" w:rsidR="00FE2E83" w:rsidRDefault="00FE2E83" w:rsidP="006D3D98">
      <w:pPr>
        <w:pStyle w:val="Default"/>
        <w:rPr>
          <w:color w:val="auto"/>
          <w:sz w:val="22"/>
          <w:szCs w:val="22"/>
        </w:rPr>
      </w:pPr>
    </w:p>
    <w:p w14:paraId="3FD363B8" w14:textId="1C62DD02" w:rsidR="006D3D98" w:rsidRDefault="006D3D98" w:rsidP="006D3D98">
      <w:pPr>
        <w:pStyle w:val="Default"/>
        <w:rPr>
          <w:color w:val="auto"/>
          <w:sz w:val="22"/>
          <w:szCs w:val="22"/>
        </w:rPr>
      </w:pPr>
      <w:r>
        <w:rPr>
          <w:color w:val="auto"/>
          <w:sz w:val="22"/>
          <w:szCs w:val="22"/>
        </w:rPr>
        <w:t xml:space="preserve">McLaughlin, Daniel. Optum’s Strategy for ACO Development. High Performance Health Care. </w:t>
      </w:r>
      <w:hyperlink r:id="rId78" w:history="1">
        <w:r w:rsidR="00FE2E83" w:rsidRPr="00541C4A">
          <w:rPr>
            <w:rStyle w:val="Hyperlink"/>
            <w:sz w:val="22"/>
            <w:szCs w:val="22"/>
          </w:rPr>
          <w:t>https://blogs.stthomas.edu/hphc/2013/02/04/optums-strategy-for-aco-development/</w:t>
        </w:r>
      </w:hyperlink>
      <w:r w:rsidR="00FE2E83">
        <w:rPr>
          <w:color w:val="auto"/>
          <w:sz w:val="22"/>
          <w:szCs w:val="22"/>
        </w:rPr>
        <w:t xml:space="preserve"> </w:t>
      </w:r>
      <w:r>
        <w:rPr>
          <w:color w:val="auto"/>
          <w:sz w:val="22"/>
          <w:szCs w:val="22"/>
        </w:rPr>
        <w:t xml:space="preserve"> February 2013. </w:t>
      </w:r>
    </w:p>
    <w:p w14:paraId="17C556B1" w14:textId="77777777" w:rsidR="00FE2E83" w:rsidRDefault="00FE2E83" w:rsidP="006D3D98">
      <w:pPr>
        <w:pStyle w:val="Default"/>
        <w:rPr>
          <w:color w:val="auto"/>
          <w:sz w:val="22"/>
          <w:szCs w:val="22"/>
        </w:rPr>
      </w:pPr>
    </w:p>
    <w:p w14:paraId="2BA55DB1" w14:textId="1E1A457E" w:rsidR="006D3D98" w:rsidRDefault="006D3D98" w:rsidP="006D3D98">
      <w:pPr>
        <w:pStyle w:val="Default"/>
        <w:rPr>
          <w:color w:val="auto"/>
          <w:sz w:val="22"/>
          <w:szCs w:val="22"/>
        </w:rPr>
      </w:pPr>
      <w:r>
        <w:rPr>
          <w:color w:val="auto"/>
          <w:sz w:val="22"/>
          <w:szCs w:val="22"/>
        </w:rPr>
        <w:t xml:space="preserve">Mcnamara, Peggy. Provider-specific report cards: a tool for health sector accountability in developing countries. Health Policy and Planning, Volume 21, Issue 2, Pages 101–109. </w:t>
      </w:r>
      <w:hyperlink r:id="rId79" w:history="1">
        <w:r w:rsidR="00FE2E83" w:rsidRPr="00541C4A">
          <w:rPr>
            <w:rStyle w:val="Hyperlink"/>
            <w:sz w:val="22"/>
            <w:szCs w:val="22"/>
          </w:rPr>
          <w:t>https://doi.org/10.1093/heapol/czj009</w:t>
        </w:r>
      </w:hyperlink>
      <w:r w:rsidR="00FE2E83">
        <w:rPr>
          <w:color w:val="auto"/>
          <w:sz w:val="22"/>
          <w:szCs w:val="22"/>
        </w:rPr>
        <w:t xml:space="preserve"> </w:t>
      </w:r>
      <w:r>
        <w:rPr>
          <w:color w:val="auto"/>
          <w:sz w:val="22"/>
          <w:szCs w:val="22"/>
        </w:rPr>
        <w:t xml:space="preserve"> March 2006. </w:t>
      </w:r>
    </w:p>
    <w:p w14:paraId="70E8B994" w14:textId="77777777" w:rsidR="00FE2E83" w:rsidRDefault="00FE2E83" w:rsidP="006D3D98">
      <w:pPr>
        <w:pStyle w:val="Default"/>
        <w:rPr>
          <w:color w:val="auto"/>
          <w:sz w:val="22"/>
          <w:szCs w:val="22"/>
        </w:rPr>
      </w:pPr>
    </w:p>
    <w:p w14:paraId="55BD4DBE" w14:textId="77777777" w:rsidR="000E06F7" w:rsidRDefault="006D3D98" w:rsidP="006D3D98">
      <w:pPr>
        <w:pStyle w:val="Default"/>
        <w:rPr>
          <w:color w:val="auto"/>
          <w:sz w:val="22"/>
          <w:szCs w:val="22"/>
        </w:rPr>
      </w:pPr>
      <w:r>
        <w:rPr>
          <w:color w:val="auto"/>
          <w:sz w:val="22"/>
          <w:szCs w:val="22"/>
        </w:rPr>
        <w:t xml:space="preserve">Meldon SW, Mion LC, Palmer RM, Drew BL, Connor JT, Lewicki LJ, Bass DM, Emerman CL. A brief risk-stratification tool to predict repeat emergency department visits and hospitalizations in older patients discharged from the emergency department. Acad Emerg Med. 2003 Mar;10(3):224-32. doi: 10.1111/j.1553-2712.2003.tb01996.x. PMID: 12615588. </w:t>
      </w:r>
      <w:hyperlink r:id="rId80" w:history="1">
        <w:r w:rsidR="00FE2E83" w:rsidRPr="00541C4A">
          <w:rPr>
            <w:rStyle w:val="Hyperlink"/>
            <w:sz w:val="22"/>
            <w:szCs w:val="22"/>
          </w:rPr>
          <w:t>https://pubmed.ncbi.nlm.nih.gov/12615588/</w:t>
        </w:r>
      </w:hyperlink>
      <w:r w:rsidR="00FE2E83">
        <w:rPr>
          <w:color w:val="auto"/>
          <w:sz w:val="22"/>
          <w:szCs w:val="22"/>
        </w:rPr>
        <w:t xml:space="preserve"> </w:t>
      </w:r>
    </w:p>
    <w:p w14:paraId="02080C99" w14:textId="5C70280C" w:rsidR="006D3D98" w:rsidRDefault="006D3D98" w:rsidP="006D3D98">
      <w:pPr>
        <w:pStyle w:val="Default"/>
        <w:rPr>
          <w:color w:val="auto"/>
          <w:sz w:val="22"/>
          <w:szCs w:val="22"/>
        </w:rPr>
      </w:pPr>
      <w:r>
        <w:rPr>
          <w:color w:val="auto"/>
          <w:sz w:val="22"/>
          <w:szCs w:val="22"/>
        </w:rPr>
        <w:t xml:space="preserve"> </w:t>
      </w:r>
      <w:r w:rsidR="00FE2E83">
        <w:rPr>
          <w:color w:val="auto"/>
          <w:sz w:val="22"/>
          <w:szCs w:val="22"/>
        </w:rPr>
        <w:t xml:space="preserve"> </w:t>
      </w:r>
    </w:p>
    <w:p w14:paraId="09D7ED07" w14:textId="3A5DF46C" w:rsidR="006D3D98" w:rsidRDefault="006D3D98" w:rsidP="006D3D98">
      <w:pPr>
        <w:pStyle w:val="Default"/>
        <w:rPr>
          <w:color w:val="auto"/>
          <w:sz w:val="22"/>
          <w:szCs w:val="22"/>
        </w:rPr>
      </w:pPr>
      <w:r>
        <w:rPr>
          <w:color w:val="auto"/>
          <w:sz w:val="22"/>
          <w:szCs w:val="22"/>
        </w:rPr>
        <w:t xml:space="preserve">Miller, K.E.M, Duan-Porter, W., Stechuchak, K., Mahanna, E., Coffman, C., et. al, Risk Stratification for Return Emergency Department Visits Among High-Risk Patients. The American Journal of Managed Care, Volume 23, Issue 8 </w:t>
      </w:r>
      <w:hyperlink r:id="rId81" w:history="1">
        <w:r w:rsidR="000E06F7" w:rsidRPr="00541C4A">
          <w:rPr>
            <w:rStyle w:val="Hyperlink"/>
            <w:sz w:val="22"/>
            <w:szCs w:val="22"/>
          </w:rPr>
          <w:t>https://www.ajmc.com/view/risk-stratification-for-return-emergency-department-visits-among-high-risk-patients</w:t>
        </w:r>
      </w:hyperlink>
      <w:r w:rsidR="000E06F7">
        <w:rPr>
          <w:color w:val="auto"/>
          <w:sz w:val="22"/>
          <w:szCs w:val="22"/>
        </w:rPr>
        <w:t xml:space="preserve"> </w:t>
      </w:r>
      <w:r>
        <w:rPr>
          <w:color w:val="auto"/>
          <w:sz w:val="22"/>
          <w:szCs w:val="22"/>
        </w:rPr>
        <w:t xml:space="preserve"> August 2017. </w:t>
      </w:r>
    </w:p>
    <w:p w14:paraId="4176B311" w14:textId="77777777" w:rsidR="000E06F7" w:rsidRDefault="000E06F7" w:rsidP="006D3D98">
      <w:pPr>
        <w:pStyle w:val="Default"/>
        <w:rPr>
          <w:color w:val="auto"/>
          <w:sz w:val="22"/>
          <w:szCs w:val="22"/>
        </w:rPr>
      </w:pPr>
    </w:p>
    <w:p w14:paraId="58F28789" w14:textId="77777777" w:rsidR="000E06F7" w:rsidRDefault="006D3D98" w:rsidP="000E06F7">
      <w:pPr>
        <w:pStyle w:val="Default"/>
        <w:rPr>
          <w:color w:val="auto"/>
          <w:sz w:val="22"/>
          <w:szCs w:val="22"/>
        </w:rPr>
      </w:pPr>
      <w:r>
        <w:rPr>
          <w:color w:val="auto"/>
          <w:sz w:val="22"/>
          <w:szCs w:val="22"/>
        </w:rPr>
        <w:t xml:space="preserve">Muoio, Dave. Community health worker support reduces 30-day readmission among high-risk ACO patients. </w:t>
      </w:r>
      <w:hyperlink r:id="rId82" w:history="1">
        <w:r w:rsidR="000E06F7" w:rsidRPr="00541C4A">
          <w:rPr>
            <w:rStyle w:val="Hyperlink"/>
            <w:sz w:val="22"/>
            <w:szCs w:val="22"/>
          </w:rPr>
          <w:t>https://www.fiercehealthcare.com/hospitals/community-health-worker-support-reduces-30-day-readmission-among-high-risk-aco-patients</w:t>
        </w:r>
      </w:hyperlink>
      <w:r w:rsidR="000E06F7">
        <w:rPr>
          <w:color w:val="auto"/>
          <w:sz w:val="22"/>
          <w:szCs w:val="22"/>
        </w:rPr>
        <w:t xml:space="preserve"> </w:t>
      </w:r>
      <w:r>
        <w:rPr>
          <w:color w:val="auto"/>
          <w:sz w:val="22"/>
          <w:szCs w:val="22"/>
        </w:rPr>
        <w:t xml:space="preserve"> June 2021. </w:t>
      </w:r>
    </w:p>
    <w:p w14:paraId="0AAFAC98" w14:textId="77777777" w:rsidR="000E06F7" w:rsidRDefault="000E06F7" w:rsidP="000E06F7">
      <w:pPr>
        <w:pStyle w:val="Default"/>
        <w:rPr>
          <w:color w:val="auto"/>
          <w:sz w:val="22"/>
          <w:szCs w:val="22"/>
        </w:rPr>
      </w:pPr>
    </w:p>
    <w:p w14:paraId="24CBDF71" w14:textId="4E5BD33B" w:rsidR="000E06F7" w:rsidRDefault="006D3D98" w:rsidP="000E06F7">
      <w:pPr>
        <w:pStyle w:val="Default"/>
        <w:rPr>
          <w:color w:val="auto"/>
          <w:sz w:val="22"/>
          <w:szCs w:val="22"/>
        </w:rPr>
      </w:pPr>
      <w:r>
        <w:rPr>
          <w:color w:val="auto"/>
          <w:sz w:val="22"/>
          <w:szCs w:val="22"/>
        </w:rPr>
        <w:t xml:space="preserve">Naylor MD, Hirschman KB, Toles MP, Jarrín OF, Shaid E, Pauly MV. Adaptations of the evidence-based Transitional Care Model in the U.S. Soc Sci Med. 2018 Sep;213:28-36. doi: 10.1016/j.socscimed.2018.07.023. Epub 2018 Jul 17. PMID: 30055423. Available at: </w:t>
      </w:r>
      <w:hyperlink r:id="rId83" w:history="1">
        <w:r w:rsidR="000E06F7" w:rsidRPr="00541C4A">
          <w:rPr>
            <w:rStyle w:val="Hyperlink"/>
            <w:sz w:val="22"/>
            <w:szCs w:val="22"/>
          </w:rPr>
          <w:t>https://pubmed.ncbi.nlm.nih.gov/30055423/</w:t>
        </w:r>
      </w:hyperlink>
    </w:p>
    <w:p w14:paraId="480E034D" w14:textId="107CF4E6" w:rsidR="006D3D98" w:rsidRDefault="006D3D98" w:rsidP="000E06F7">
      <w:pPr>
        <w:pStyle w:val="Default"/>
        <w:rPr>
          <w:color w:val="auto"/>
          <w:sz w:val="22"/>
          <w:szCs w:val="22"/>
        </w:rPr>
      </w:pPr>
      <w:r>
        <w:rPr>
          <w:color w:val="auto"/>
          <w:sz w:val="22"/>
          <w:szCs w:val="22"/>
        </w:rPr>
        <w:t xml:space="preserve"> </w:t>
      </w:r>
    </w:p>
    <w:p w14:paraId="70BC4C51" w14:textId="77777777" w:rsidR="000E06F7" w:rsidRDefault="006D3D98" w:rsidP="006D3D98">
      <w:pPr>
        <w:pStyle w:val="Default"/>
        <w:rPr>
          <w:color w:val="auto"/>
          <w:sz w:val="22"/>
          <w:szCs w:val="22"/>
        </w:rPr>
      </w:pPr>
      <w:r>
        <w:rPr>
          <w:color w:val="auto"/>
          <w:sz w:val="22"/>
          <w:szCs w:val="22"/>
        </w:rPr>
        <w:t xml:space="preserve">Nolan, L., Regenstein, M., Anthony, D., Siegel, B. Fund Report: Emergency Department Operations in Top-Performing Safety-Net Hosptials, Commonwealth Fund </w:t>
      </w:r>
      <w:hyperlink r:id="rId84" w:history="1">
        <w:r w:rsidR="000E06F7" w:rsidRPr="00541C4A">
          <w:rPr>
            <w:rStyle w:val="Hyperlink"/>
            <w:sz w:val="22"/>
            <w:szCs w:val="22"/>
          </w:rPr>
          <w:t>https://www.commonwealthfund.org/publications/fund-reports/2009/jul/emergency-department-operations-top-performing-safety-net</w:t>
        </w:r>
      </w:hyperlink>
      <w:r w:rsidR="000E06F7">
        <w:rPr>
          <w:color w:val="auto"/>
          <w:sz w:val="22"/>
          <w:szCs w:val="22"/>
        </w:rPr>
        <w:t xml:space="preserve"> </w:t>
      </w:r>
      <w:r>
        <w:rPr>
          <w:color w:val="auto"/>
          <w:sz w:val="22"/>
          <w:szCs w:val="22"/>
        </w:rPr>
        <w:t xml:space="preserve"> September 2009.</w:t>
      </w:r>
    </w:p>
    <w:p w14:paraId="5CA16E4C" w14:textId="36BFA226" w:rsidR="006D3D98" w:rsidRDefault="006D3D98" w:rsidP="006D3D98">
      <w:pPr>
        <w:pStyle w:val="Default"/>
        <w:rPr>
          <w:color w:val="auto"/>
          <w:sz w:val="22"/>
          <w:szCs w:val="22"/>
        </w:rPr>
      </w:pPr>
      <w:r>
        <w:rPr>
          <w:color w:val="auto"/>
          <w:sz w:val="22"/>
          <w:szCs w:val="22"/>
        </w:rPr>
        <w:t xml:space="preserve"> </w:t>
      </w:r>
    </w:p>
    <w:p w14:paraId="31552E54" w14:textId="77777777" w:rsidR="000879EB" w:rsidRDefault="006D3D98" w:rsidP="006D3D98">
      <w:pPr>
        <w:pStyle w:val="Default"/>
        <w:rPr>
          <w:color w:val="auto"/>
          <w:sz w:val="22"/>
          <w:szCs w:val="22"/>
        </w:rPr>
      </w:pPr>
      <w:r>
        <w:rPr>
          <w:color w:val="auto"/>
          <w:sz w:val="22"/>
          <w:szCs w:val="22"/>
        </w:rPr>
        <w:t xml:space="preserve">New York State Partnership for Patients: Preventable Readmission Initiative: </w:t>
      </w:r>
      <w:hyperlink r:id="rId85" w:history="1">
        <w:r w:rsidR="000E06F7" w:rsidRPr="00541C4A">
          <w:rPr>
            <w:rStyle w:val="Hyperlink"/>
            <w:sz w:val="22"/>
            <w:szCs w:val="22"/>
          </w:rPr>
          <w:t>https://www.nyspfp.org/Members/Initiatives/Readmissions/Tools.aspx</w:t>
        </w:r>
      </w:hyperlink>
      <w:r w:rsidR="000E06F7">
        <w:rPr>
          <w:color w:val="auto"/>
          <w:sz w:val="22"/>
          <w:szCs w:val="22"/>
        </w:rPr>
        <w:t xml:space="preserve"> </w:t>
      </w:r>
    </w:p>
    <w:p w14:paraId="381144D5" w14:textId="6F8DE348" w:rsidR="006D3D98" w:rsidRDefault="006D3D98" w:rsidP="006D3D98">
      <w:pPr>
        <w:pStyle w:val="Default"/>
        <w:rPr>
          <w:color w:val="auto"/>
          <w:sz w:val="22"/>
          <w:szCs w:val="22"/>
        </w:rPr>
      </w:pPr>
      <w:r>
        <w:rPr>
          <w:color w:val="auto"/>
          <w:sz w:val="22"/>
          <w:szCs w:val="22"/>
        </w:rPr>
        <w:t xml:space="preserve"> </w:t>
      </w:r>
    </w:p>
    <w:p w14:paraId="098A7673" w14:textId="2BDF1905" w:rsidR="006D3D98" w:rsidRDefault="006D3D98" w:rsidP="006D3D98">
      <w:pPr>
        <w:pStyle w:val="Default"/>
        <w:rPr>
          <w:color w:val="auto"/>
          <w:sz w:val="22"/>
          <w:szCs w:val="22"/>
        </w:rPr>
      </w:pPr>
      <w:r>
        <w:rPr>
          <w:color w:val="auto"/>
          <w:sz w:val="22"/>
          <w:szCs w:val="22"/>
        </w:rPr>
        <w:t xml:space="preserve">The Office of the National Coordinator for Health Information Technology. Improving Hospital Transitions and Care Coordination Using Automated Admission, Discharge and Transfer Alerts. </w:t>
      </w:r>
      <w:hyperlink r:id="rId86" w:history="1">
        <w:r w:rsidR="000E06F7" w:rsidRPr="00541C4A">
          <w:rPr>
            <w:rStyle w:val="Hyperlink"/>
            <w:sz w:val="22"/>
            <w:szCs w:val="22"/>
          </w:rPr>
          <w:t>https://www.healthit.gov/sites/default/files/onc-beacon-lg1-adt-alerts-for-toc-and-care-coord.pdf</w:t>
        </w:r>
      </w:hyperlink>
      <w:r w:rsidR="000E06F7">
        <w:rPr>
          <w:color w:val="auto"/>
          <w:sz w:val="22"/>
          <w:szCs w:val="22"/>
        </w:rPr>
        <w:t xml:space="preserve"> </w:t>
      </w:r>
      <w:r>
        <w:rPr>
          <w:color w:val="auto"/>
          <w:sz w:val="22"/>
          <w:szCs w:val="22"/>
        </w:rPr>
        <w:t xml:space="preserve"> May 2013. </w:t>
      </w:r>
    </w:p>
    <w:p w14:paraId="28CF99C1" w14:textId="77777777" w:rsidR="000879EB" w:rsidRDefault="000879EB" w:rsidP="006D3D98">
      <w:pPr>
        <w:pStyle w:val="Default"/>
        <w:rPr>
          <w:color w:val="auto"/>
          <w:sz w:val="22"/>
          <w:szCs w:val="22"/>
        </w:rPr>
      </w:pPr>
    </w:p>
    <w:p w14:paraId="1D714F4A" w14:textId="2A261335" w:rsidR="000879EB" w:rsidRDefault="006D3D98" w:rsidP="006D3D98">
      <w:pPr>
        <w:pStyle w:val="Default"/>
        <w:rPr>
          <w:color w:val="auto"/>
          <w:sz w:val="22"/>
          <w:szCs w:val="22"/>
        </w:rPr>
      </w:pPr>
      <w:r>
        <w:rPr>
          <w:color w:val="auto"/>
          <w:sz w:val="22"/>
          <w:szCs w:val="22"/>
        </w:rPr>
        <w:t xml:space="preserve">Patton DE, Ryan C, Hughes CM. Development of a complex community pharmacy intervention package using theory-based behaviour change techniques to improve older adults' medication adherence. BMC Health Serv Res. 2020 May 13;20(1):418. doi: 10.1186/s12913-020-05282-7. PMID: 32404090; PMCID: PMC7222450. Available at: </w:t>
      </w:r>
      <w:hyperlink r:id="rId87" w:history="1">
        <w:r w:rsidR="000879EB" w:rsidRPr="00541C4A">
          <w:rPr>
            <w:rStyle w:val="Hyperlink"/>
            <w:sz w:val="22"/>
            <w:szCs w:val="22"/>
          </w:rPr>
          <w:t>https://pubmed.ncbi.nlm.nih.gov/32404090/</w:t>
        </w:r>
      </w:hyperlink>
    </w:p>
    <w:p w14:paraId="1FEECFCE" w14:textId="3F4A38C9" w:rsidR="006D3D98" w:rsidRDefault="006D3D98" w:rsidP="006D3D98">
      <w:pPr>
        <w:pStyle w:val="Default"/>
        <w:rPr>
          <w:color w:val="auto"/>
          <w:sz w:val="22"/>
          <w:szCs w:val="22"/>
        </w:rPr>
      </w:pPr>
      <w:r>
        <w:rPr>
          <w:color w:val="auto"/>
          <w:sz w:val="22"/>
          <w:szCs w:val="22"/>
        </w:rPr>
        <w:t xml:space="preserve"> </w:t>
      </w:r>
    </w:p>
    <w:p w14:paraId="27A6C3E4" w14:textId="1F83F2B3" w:rsidR="006D3D98" w:rsidRDefault="006D3D98" w:rsidP="006D3D98">
      <w:pPr>
        <w:pStyle w:val="Default"/>
        <w:rPr>
          <w:color w:val="auto"/>
          <w:sz w:val="22"/>
          <w:szCs w:val="22"/>
        </w:rPr>
      </w:pPr>
      <w:r>
        <w:rPr>
          <w:color w:val="auto"/>
          <w:sz w:val="22"/>
          <w:szCs w:val="22"/>
        </w:rPr>
        <w:t xml:space="preserve">Project RED Re-Engineered Discharge </w:t>
      </w:r>
      <w:hyperlink r:id="rId88" w:history="1">
        <w:r w:rsidR="000879EB" w:rsidRPr="00541C4A">
          <w:rPr>
            <w:rStyle w:val="Hyperlink"/>
            <w:sz w:val="22"/>
            <w:szCs w:val="22"/>
          </w:rPr>
          <w:t>https://www.bu.edu/fammed/projectred/toolkit.html</w:t>
        </w:r>
      </w:hyperlink>
      <w:r>
        <w:rPr>
          <w:color w:val="auto"/>
          <w:sz w:val="22"/>
          <w:szCs w:val="22"/>
        </w:rPr>
        <w:t xml:space="preserve"> </w:t>
      </w:r>
    </w:p>
    <w:p w14:paraId="43B5C231" w14:textId="632F6D6B" w:rsidR="006D3D98" w:rsidRDefault="006D3D98" w:rsidP="006D3D98">
      <w:pPr>
        <w:pStyle w:val="Default"/>
        <w:rPr>
          <w:color w:val="auto"/>
          <w:sz w:val="22"/>
          <w:szCs w:val="22"/>
        </w:rPr>
      </w:pPr>
      <w:r>
        <w:rPr>
          <w:color w:val="auto"/>
          <w:sz w:val="22"/>
          <w:szCs w:val="22"/>
        </w:rPr>
        <w:t xml:space="preserve">Robert Wood Johnson Foundation: Emergency Department Utilization and Capacity, Research and Synthesis Report No. 17, </w:t>
      </w:r>
      <w:hyperlink r:id="rId89" w:history="1">
        <w:r w:rsidR="000879EB" w:rsidRPr="00541C4A">
          <w:rPr>
            <w:rStyle w:val="Hyperlink"/>
            <w:sz w:val="22"/>
            <w:szCs w:val="22"/>
          </w:rPr>
          <w:t>https://www.rwjf.org/en/library/research/2009/07/emergency-department-utilization-and-capacity0.html</w:t>
        </w:r>
      </w:hyperlink>
      <w:r w:rsidR="000879EB">
        <w:rPr>
          <w:color w:val="auto"/>
          <w:sz w:val="22"/>
          <w:szCs w:val="22"/>
        </w:rPr>
        <w:t xml:space="preserve"> </w:t>
      </w:r>
      <w:r>
        <w:rPr>
          <w:color w:val="auto"/>
          <w:sz w:val="22"/>
          <w:szCs w:val="22"/>
        </w:rPr>
        <w:t xml:space="preserve">, July 2009. </w:t>
      </w:r>
    </w:p>
    <w:p w14:paraId="2D85945D" w14:textId="77777777" w:rsidR="000879EB" w:rsidRDefault="000879EB" w:rsidP="006D3D98">
      <w:pPr>
        <w:pStyle w:val="Default"/>
        <w:rPr>
          <w:color w:val="auto"/>
          <w:sz w:val="22"/>
          <w:szCs w:val="22"/>
        </w:rPr>
      </w:pPr>
    </w:p>
    <w:p w14:paraId="2EE7ACC4" w14:textId="09B79CE2" w:rsidR="006D3D98" w:rsidRDefault="006D3D98" w:rsidP="006D3D98">
      <w:pPr>
        <w:pStyle w:val="Default"/>
        <w:rPr>
          <w:color w:val="auto"/>
          <w:sz w:val="22"/>
          <w:szCs w:val="22"/>
        </w:rPr>
      </w:pPr>
      <w:r>
        <w:rPr>
          <w:color w:val="auto"/>
          <w:sz w:val="22"/>
          <w:szCs w:val="22"/>
        </w:rPr>
        <w:t xml:space="preserve">Robert Wood Johnson Foundation: Transforming Care at the Bedside (Phase 2) </w:t>
      </w:r>
      <w:hyperlink r:id="rId90" w:history="1">
        <w:r w:rsidR="000879EB" w:rsidRPr="00541C4A">
          <w:rPr>
            <w:rStyle w:val="Hyperlink"/>
            <w:sz w:val="22"/>
            <w:szCs w:val="22"/>
          </w:rPr>
          <w:t>https://www.rwjf.org/en/library/research/2012/12/transforming-care-at-the-bedside--phase-2-.html</w:t>
        </w:r>
      </w:hyperlink>
      <w:r w:rsidR="000879EB">
        <w:rPr>
          <w:color w:val="auto"/>
          <w:sz w:val="22"/>
          <w:szCs w:val="22"/>
        </w:rPr>
        <w:t xml:space="preserve"> </w:t>
      </w:r>
      <w:r>
        <w:rPr>
          <w:color w:val="auto"/>
          <w:sz w:val="22"/>
          <w:szCs w:val="22"/>
        </w:rPr>
        <w:t xml:space="preserve"> Princeton, NJ, December 2012. </w:t>
      </w:r>
    </w:p>
    <w:p w14:paraId="640A2E37" w14:textId="77777777" w:rsidR="000879EB" w:rsidRDefault="000879EB" w:rsidP="006D3D98">
      <w:pPr>
        <w:pStyle w:val="Default"/>
        <w:rPr>
          <w:color w:val="auto"/>
          <w:sz w:val="22"/>
          <w:szCs w:val="22"/>
        </w:rPr>
      </w:pPr>
    </w:p>
    <w:p w14:paraId="08DBA250" w14:textId="2C898A13" w:rsidR="006D3D98" w:rsidRDefault="006D3D98" w:rsidP="006D3D98">
      <w:pPr>
        <w:pStyle w:val="Default"/>
        <w:rPr>
          <w:color w:val="auto"/>
          <w:sz w:val="22"/>
          <w:szCs w:val="22"/>
        </w:rPr>
      </w:pPr>
      <w:r>
        <w:rPr>
          <w:color w:val="auto"/>
          <w:sz w:val="22"/>
          <w:szCs w:val="22"/>
        </w:rPr>
        <w:t xml:space="preserve">Rosenthal EL, Brownstein JN, Rush CH, Hirsch GR, Willaert AM, Scott JR, Holderby LR, Fox DJ. Community health workers: part of the solution. Health Aff (Millwood). 2010 Jul;29(7):1338-42. doi: 10.1377/hlthaff.2010.0081. PMID: 20606185. Available at </w:t>
      </w:r>
      <w:hyperlink r:id="rId91" w:history="1">
        <w:r w:rsidR="000879EB" w:rsidRPr="00541C4A">
          <w:rPr>
            <w:rStyle w:val="Hyperlink"/>
            <w:sz w:val="22"/>
            <w:szCs w:val="22"/>
          </w:rPr>
          <w:t>https://pubmed.ncbi.nlm.nih.gov/20606185/</w:t>
        </w:r>
      </w:hyperlink>
      <w:r w:rsidR="000879EB">
        <w:rPr>
          <w:color w:val="auto"/>
          <w:sz w:val="22"/>
          <w:szCs w:val="22"/>
        </w:rPr>
        <w:t xml:space="preserve"> </w:t>
      </w:r>
      <w:r>
        <w:rPr>
          <w:color w:val="auto"/>
          <w:sz w:val="22"/>
          <w:szCs w:val="22"/>
        </w:rPr>
        <w:t xml:space="preserve"> </w:t>
      </w:r>
    </w:p>
    <w:p w14:paraId="0ED1391B" w14:textId="77777777" w:rsidR="00872078" w:rsidRDefault="00872078" w:rsidP="006D3D98">
      <w:pPr>
        <w:pStyle w:val="Default"/>
        <w:rPr>
          <w:color w:val="auto"/>
          <w:sz w:val="22"/>
          <w:szCs w:val="22"/>
        </w:rPr>
      </w:pPr>
    </w:p>
    <w:p w14:paraId="6CEE98FF" w14:textId="10ABB114" w:rsidR="006D3D98" w:rsidRDefault="006D3D98" w:rsidP="006D3D98">
      <w:pPr>
        <w:pStyle w:val="Default"/>
        <w:rPr>
          <w:color w:val="auto"/>
          <w:sz w:val="22"/>
          <w:szCs w:val="22"/>
        </w:rPr>
      </w:pPr>
      <w:r>
        <w:rPr>
          <w:color w:val="auto"/>
          <w:sz w:val="22"/>
          <w:szCs w:val="22"/>
        </w:rPr>
        <w:t xml:space="preserve">Rush, C., Sustainable Financing of Community Health Worker Employment Brief. The National Association of Community Health workers. </w:t>
      </w:r>
      <w:hyperlink r:id="rId92" w:history="1">
        <w:r w:rsidR="00872078" w:rsidRPr="00541C4A">
          <w:rPr>
            <w:rStyle w:val="Hyperlink"/>
            <w:sz w:val="22"/>
            <w:szCs w:val="22"/>
          </w:rPr>
          <w:t>https://nachw.org/wp-content/uploads/2020/10/SustainableFinancingReportOctober2020.pdf</w:t>
        </w:r>
      </w:hyperlink>
      <w:r w:rsidR="00872078">
        <w:rPr>
          <w:color w:val="auto"/>
          <w:sz w:val="22"/>
          <w:szCs w:val="22"/>
        </w:rPr>
        <w:t xml:space="preserve"> </w:t>
      </w:r>
      <w:r>
        <w:rPr>
          <w:color w:val="auto"/>
          <w:sz w:val="22"/>
          <w:szCs w:val="22"/>
        </w:rPr>
        <w:t xml:space="preserve"> July 2020. </w:t>
      </w:r>
    </w:p>
    <w:p w14:paraId="25B501FE" w14:textId="77777777" w:rsidR="00872078" w:rsidRDefault="00872078" w:rsidP="006D3D98">
      <w:pPr>
        <w:pStyle w:val="Default"/>
        <w:rPr>
          <w:color w:val="auto"/>
          <w:sz w:val="22"/>
          <w:szCs w:val="22"/>
        </w:rPr>
      </w:pPr>
    </w:p>
    <w:p w14:paraId="187068D9" w14:textId="2D6909EE" w:rsidR="006D3D98" w:rsidRDefault="006D3D98" w:rsidP="006D3D98">
      <w:pPr>
        <w:pStyle w:val="Default"/>
        <w:rPr>
          <w:color w:val="auto"/>
          <w:sz w:val="22"/>
          <w:szCs w:val="22"/>
        </w:rPr>
      </w:pPr>
      <w:r>
        <w:rPr>
          <w:color w:val="auto"/>
          <w:sz w:val="22"/>
          <w:szCs w:val="22"/>
        </w:rPr>
        <w:t xml:space="preserve">Schall M, Coleman E, Rutherford P, Taylor J, How-to Guide: Improving Transitions from the Hospital to the Clinical Office Practice to Reduce Avoidable Rehospitalizations. Cambridge, MA: Institute for Healthcare Improvement. Available at </w:t>
      </w:r>
      <w:hyperlink r:id="rId93" w:history="1">
        <w:r w:rsidR="00872078" w:rsidRPr="00541C4A">
          <w:rPr>
            <w:rStyle w:val="Hyperlink"/>
            <w:sz w:val="22"/>
            <w:szCs w:val="22"/>
          </w:rPr>
          <w:t>www.IHI.org</w:t>
        </w:r>
      </w:hyperlink>
      <w:r w:rsidR="00872078">
        <w:rPr>
          <w:color w:val="auto"/>
          <w:sz w:val="22"/>
          <w:szCs w:val="22"/>
        </w:rPr>
        <w:t xml:space="preserve"> </w:t>
      </w:r>
      <w:r>
        <w:rPr>
          <w:color w:val="auto"/>
          <w:sz w:val="22"/>
          <w:szCs w:val="22"/>
        </w:rPr>
        <w:t xml:space="preserve"> June 2011. </w:t>
      </w:r>
    </w:p>
    <w:p w14:paraId="31AEC568" w14:textId="77777777" w:rsidR="00872078" w:rsidRDefault="00872078" w:rsidP="006D3D98">
      <w:pPr>
        <w:pStyle w:val="Default"/>
        <w:rPr>
          <w:color w:val="auto"/>
          <w:sz w:val="22"/>
          <w:szCs w:val="22"/>
        </w:rPr>
      </w:pPr>
    </w:p>
    <w:p w14:paraId="2B730A33" w14:textId="0D8B4666" w:rsidR="006D3D98" w:rsidRDefault="006D3D98" w:rsidP="006D3D98">
      <w:pPr>
        <w:pStyle w:val="Default"/>
        <w:rPr>
          <w:color w:val="auto"/>
          <w:sz w:val="22"/>
          <w:szCs w:val="22"/>
        </w:rPr>
      </w:pPr>
      <w:r>
        <w:rPr>
          <w:color w:val="auto"/>
          <w:sz w:val="22"/>
          <w:szCs w:val="22"/>
        </w:rPr>
        <w:t xml:space="preserve">Schall M, Laderman M, Bamel D, Bolender T. Improving Behavioral Health Care in the Emergency Department and Upstream. IHI White Paper. Boston, Massachusetts: Institute for Healthcare Improvement. Available at </w:t>
      </w:r>
      <w:hyperlink r:id="rId94" w:history="1">
        <w:r w:rsidR="00872078" w:rsidRPr="00541C4A">
          <w:rPr>
            <w:rStyle w:val="Hyperlink"/>
            <w:sz w:val="22"/>
            <w:szCs w:val="22"/>
          </w:rPr>
          <w:t>www.IHI.org</w:t>
        </w:r>
      </w:hyperlink>
      <w:r w:rsidR="00872078">
        <w:rPr>
          <w:color w:val="auto"/>
          <w:sz w:val="22"/>
          <w:szCs w:val="22"/>
        </w:rPr>
        <w:t xml:space="preserve"> </w:t>
      </w:r>
      <w:r>
        <w:rPr>
          <w:color w:val="auto"/>
          <w:sz w:val="22"/>
          <w:szCs w:val="22"/>
        </w:rPr>
        <w:t xml:space="preserve"> 2020 </w:t>
      </w:r>
    </w:p>
    <w:p w14:paraId="33186A02" w14:textId="77777777" w:rsidR="00872078" w:rsidRDefault="00872078" w:rsidP="006D3D98">
      <w:pPr>
        <w:pStyle w:val="Default"/>
        <w:rPr>
          <w:color w:val="auto"/>
          <w:sz w:val="22"/>
          <w:szCs w:val="22"/>
        </w:rPr>
      </w:pPr>
    </w:p>
    <w:p w14:paraId="6E9BB929" w14:textId="77777777" w:rsidR="00872078" w:rsidRDefault="006D3D98" w:rsidP="00872078">
      <w:pPr>
        <w:pStyle w:val="Default"/>
        <w:rPr>
          <w:color w:val="auto"/>
          <w:sz w:val="22"/>
          <w:szCs w:val="22"/>
        </w:rPr>
      </w:pPr>
      <w:r>
        <w:rPr>
          <w:color w:val="auto"/>
          <w:sz w:val="22"/>
          <w:szCs w:val="22"/>
        </w:rPr>
        <w:t xml:space="preserve">Siwicki, Bill. Why more tech vendors are targeting ACOs with analytics, care management tools. </w:t>
      </w:r>
      <w:hyperlink r:id="rId95" w:history="1">
        <w:r w:rsidR="00872078" w:rsidRPr="00541C4A">
          <w:rPr>
            <w:rStyle w:val="Hyperlink"/>
            <w:sz w:val="22"/>
            <w:szCs w:val="22"/>
          </w:rPr>
          <w:t>https://www.healthcareitnews.com/news/why-more-tech-vendors-are-targeting-acos-analytics-care-management-tools</w:t>
        </w:r>
      </w:hyperlink>
      <w:r w:rsidR="00872078">
        <w:rPr>
          <w:color w:val="auto"/>
          <w:sz w:val="22"/>
          <w:szCs w:val="22"/>
        </w:rPr>
        <w:t xml:space="preserve"> </w:t>
      </w:r>
      <w:r>
        <w:rPr>
          <w:color w:val="auto"/>
          <w:sz w:val="22"/>
          <w:szCs w:val="22"/>
        </w:rPr>
        <w:t xml:space="preserve"> November 2017.  </w:t>
      </w:r>
    </w:p>
    <w:p w14:paraId="1C798425" w14:textId="77777777" w:rsidR="00872078" w:rsidRDefault="00872078" w:rsidP="00872078">
      <w:pPr>
        <w:pStyle w:val="Default"/>
        <w:rPr>
          <w:color w:val="auto"/>
          <w:sz w:val="22"/>
          <w:szCs w:val="22"/>
        </w:rPr>
      </w:pPr>
    </w:p>
    <w:p w14:paraId="62A944D8" w14:textId="78048FE8" w:rsidR="006D3D98" w:rsidRDefault="006D3D98" w:rsidP="00872078">
      <w:pPr>
        <w:pStyle w:val="Default"/>
        <w:rPr>
          <w:color w:val="auto"/>
          <w:sz w:val="22"/>
          <w:szCs w:val="22"/>
        </w:rPr>
      </w:pPr>
      <w:r>
        <w:rPr>
          <w:color w:val="auto"/>
          <w:sz w:val="22"/>
          <w:szCs w:val="22"/>
        </w:rPr>
        <w:t xml:space="preserve">Slabodkin, Greg. PCPs often lack access to Admit, Discharge and Transfer data. Health Data Management. </w:t>
      </w:r>
      <w:hyperlink r:id="rId96" w:history="1">
        <w:r w:rsidR="00872078" w:rsidRPr="00541C4A">
          <w:rPr>
            <w:rStyle w:val="Hyperlink"/>
            <w:sz w:val="22"/>
            <w:szCs w:val="22"/>
          </w:rPr>
          <w:t>https://www.healthdatamanagement.com/news/pcps-often-lack-access-to-admit-discharge-and-transfer-data . April 2018</w:t>
        </w:r>
      </w:hyperlink>
      <w:r>
        <w:rPr>
          <w:color w:val="auto"/>
          <w:sz w:val="22"/>
          <w:szCs w:val="22"/>
        </w:rPr>
        <w:t xml:space="preserve">. </w:t>
      </w:r>
    </w:p>
    <w:p w14:paraId="2AFF4D52" w14:textId="77777777" w:rsidR="00872078" w:rsidRDefault="00872078" w:rsidP="00872078">
      <w:pPr>
        <w:pStyle w:val="Default"/>
        <w:rPr>
          <w:color w:val="auto"/>
          <w:sz w:val="22"/>
          <w:szCs w:val="22"/>
        </w:rPr>
      </w:pPr>
    </w:p>
    <w:p w14:paraId="12C30B8E" w14:textId="2C9FE8BF" w:rsidR="006D3D98" w:rsidRDefault="006D3D98" w:rsidP="006D3D98">
      <w:pPr>
        <w:pStyle w:val="Default"/>
        <w:rPr>
          <w:color w:val="auto"/>
          <w:sz w:val="22"/>
          <w:szCs w:val="22"/>
        </w:rPr>
      </w:pPr>
      <w:r>
        <w:rPr>
          <w:color w:val="auto"/>
          <w:sz w:val="22"/>
          <w:szCs w:val="22"/>
        </w:rPr>
        <w:t xml:space="preserve">Sommers A., Cunningham P.J. Physician Visits After Hospital Discharge: Implications for Reducing Readmissions. Washington, DC: National Institute for Health Care Reform: December 2011. </w:t>
      </w:r>
    </w:p>
    <w:p w14:paraId="0DB0B53E" w14:textId="77777777" w:rsidR="00872078" w:rsidRDefault="00872078" w:rsidP="006D3D98">
      <w:pPr>
        <w:pStyle w:val="Default"/>
        <w:rPr>
          <w:color w:val="auto"/>
          <w:sz w:val="22"/>
          <w:szCs w:val="22"/>
        </w:rPr>
      </w:pPr>
    </w:p>
    <w:p w14:paraId="5F9F0E71" w14:textId="4F25B46F" w:rsidR="006D3D98" w:rsidRDefault="006D3D98" w:rsidP="006D3D98">
      <w:pPr>
        <w:pStyle w:val="Default"/>
        <w:rPr>
          <w:color w:val="auto"/>
          <w:sz w:val="22"/>
          <w:szCs w:val="22"/>
        </w:rPr>
      </w:pPr>
      <w:r>
        <w:rPr>
          <w:color w:val="auto"/>
          <w:sz w:val="22"/>
          <w:szCs w:val="22"/>
        </w:rPr>
        <w:t xml:space="preserve">Stanford Coordinated Care (SCC) Change Package </w:t>
      </w:r>
      <w:hyperlink r:id="rId97" w:history="1">
        <w:r w:rsidR="00872078" w:rsidRPr="00541C4A">
          <w:rPr>
            <w:rStyle w:val="Hyperlink"/>
            <w:sz w:val="22"/>
            <w:szCs w:val="22"/>
          </w:rPr>
          <w:t>http://171.65.104.14/content/dam/sm/cerc/documents/about/CoordinatedCare/SCC%20Change%20Package%202019-0107.pdf</w:t>
        </w:r>
      </w:hyperlink>
      <w:r w:rsidR="00872078">
        <w:rPr>
          <w:color w:val="auto"/>
          <w:sz w:val="22"/>
          <w:szCs w:val="22"/>
        </w:rPr>
        <w:t xml:space="preserve"> </w:t>
      </w:r>
      <w:r>
        <w:rPr>
          <w:color w:val="auto"/>
          <w:sz w:val="22"/>
          <w:szCs w:val="22"/>
        </w:rPr>
        <w:t xml:space="preserve"> Stanford, CA. </w:t>
      </w:r>
    </w:p>
    <w:p w14:paraId="7487E6E7" w14:textId="77777777" w:rsidR="00872078" w:rsidRDefault="00872078" w:rsidP="006D3D98">
      <w:pPr>
        <w:pStyle w:val="Default"/>
        <w:rPr>
          <w:color w:val="auto"/>
          <w:sz w:val="22"/>
          <w:szCs w:val="22"/>
        </w:rPr>
      </w:pPr>
    </w:p>
    <w:p w14:paraId="73F9E64E" w14:textId="76E9B680" w:rsidR="006D3D98" w:rsidRDefault="006D3D98" w:rsidP="006D3D98">
      <w:pPr>
        <w:pStyle w:val="Default"/>
        <w:rPr>
          <w:color w:val="auto"/>
          <w:sz w:val="22"/>
          <w:szCs w:val="22"/>
        </w:rPr>
      </w:pPr>
      <w:r>
        <w:rPr>
          <w:color w:val="auto"/>
          <w:sz w:val="22"/>
          <w:szCs w:val="22"/>
        </w:rPr>
        <w:t xml:space="preserve">Texas Medical Association: Medicare Chronic Care Management: Who can Bill for Service? </w:t>
      </w:r>
      <w:hyperlink r:id="rId98" w:anchor=":~:text=CPT%20defines%20a%20clinical%20staff,does%20not%20individually%20report%20that" w:history="1">
        <w:r w:rsidR="00872078" w:rsidRPr="00541C4A">
          <w:rPr>
            <w:rStyle w:val="Hyperlink"/>
            <w:sz w:val="22"/>
            <w:szCs w:val="22"/>
          </w:rPr>
          <w:t>https://www.texmed.org/Template.aspx?id=33757#:~:text=CPT%20defines%20a%20clinical%20staff,does%20not%20individually%20report%20that</w:t>
        </w:r>
      </w:hyperlink>
      <w:r w:rsidR="00872078">
        <w:rPr>
          <w:color w:val="auto"/>
          <w:sz w:val="22"/>
          <w:szCs w:val="22"/>
        </w:rPr>
        <w:t xml:space="preserve"> </w:t>
      </w:r>
      <w:r>
        <w:rPr>
          <w:color w:val="auto"/>
          <w:sz w:val="22"/>
          <w:szCs w:val="22"/>
        </w:rPr>
        <w:t xml:space="preserve"> Not dated. </w:t>
      </w:r>
    </w:p>
    <w:p w14:paraId="7F0B3878" w14:textId="77777777" w:rsidR="00872078" w:rsidRDefault="00872078" w:rsidP="006D3D98">
      <w:pPr>
        <w:pStyle w:val="Default"/>
        <w:rPr>
          <w:color w:val="auto"/>
          <w:sz w:val="22"/>
          <w:szCs w:val="22"/>
        </w:rPr>
      </w:pPr>
    </w:p>
    <w:p w14:paraId="550535B2" w14:textId="0AFFBD1E" w:rsidR="006D3D98" w:rsidRDefault="006D3D98" w:rsidP="006D3D98">
      <w:pPr>
        <w:pStyle w:val="Default"/>
        <w:rPr>
          <w:color w:val="auto"/>
          <w:sz w:val="22"/>
          <w:szCs w:val="22"/>
        </w:rPr>
      </w:pPr>
      <w:r>
        <w:rPr>
          <w:color w:val="auto"/>
          <w:sz w:val="22"/>
          <w:szCs w:val="22"/>
        </w:rPr>
        <w:t xml:space="preserve">The National Center for Complex Health and Social Needs: An Initiative of the Camden Coalition, </w:t>
      </w:r>
      <w:hyperlink r:id="rId99" w:history="1">
        <w:r w:rsidR="00872078" w:rsidRPr="00541C4A">
          <w:rPr>
            <w:rStyle w:val="Hyperlink"/>
            <w:sz w:val="22"/>
            <w:szCs w:val="22"/>
          </w:rPr>
          <w:t>https://www.nationalcomplex.care/wp-content/uploads/2020/10/Core-competencies-for-frontline-complex-care-providers-Full-Report-web-final.pdf Dated 10/27/2019</w:t>
        </w:r>
      </w:hyperlink>
      <w:r w:rsidR="00872078">
        <w:rPr>
          <w:color w:val="auto"/>
          <w:sz w:val="22"/>
          <w:szCs w:val="22"/>
        </w:rPr>
        <w:t xml:space="preserve"> </w:t>
      </w:r>
      <w:r>
        <w:rPr>
          <w:color w:val="auto"/>
          <w:sz w:val="22"/>
          <w:szCs w:val="22"/>
        </w:rPr>
        <w:t xml:space="preserve"> Dated October 2019. </w:t>
      </w:r>
    </w:p>
    <w:p w14:paraId="43E9D524" w14:textId="4517F3FB" w:rsidR="006D3D98" w:rsidRDefault="006D3D98" w:rsidP="006D3D98">
      <w:pPr>
        <w:pStyle w:val="Default"/>
        <w:rPr>
          <w:color w:val="auto"/>
          <w:sz w:val="22"/>
          <w:szCs w:val="22"/>
        </w:rPr>
      </w:pPr>
      <w:r>
        <w:rPr>
          <w:color w:val="auto"/>
          <w:sz w:val="22"/>
          <w:szCs w:val="22"/>
        </w:rPr>
        <w:t xml:space="preserve">University of Pennsylvania School of Nursing New Courtland Center for Transitions and Health: Transitional Care Model </w:t>
      </w:r>
      <w:hyperlink r:id="rId100" w:history="1">
        <w:r w:rsidR="00872078" w:rsidRPr="00541C4A">
          <w:rPr>
            <w:rStyle w:val="Hyperlink"/>
            <w:sz w:val="22"/>
            <w:szCs w:val="22"/>
          </w:rPr>
          <w:t>https://www.nursing.upenn.edu/ncth/transitional-care-model/</w:t>
        </w:r>
      </w:hyperlink>
      <w:r w:rsidR="00872078">
        <w:rPr>
          <w:color w:val="auto"/>
          <w:sz w:val="22"/>
          <w:szCs w:val="22"/>
        </w:rPr>
        <w:t xml:space="preserve"> </w:t>
      </w:r>
      <w:r>
        <w:rPr>
          <w:color w:val="auto"/>
          <w:sz w:val="22"/>
          <w:szCs w:val="22"/>
        </w:rPr>
        <w:t xml:space="preserve"> Philadelphia, PA, not dated. </w:t>
      </w:r>
    </w:p>
    <w:p w14:paraId="42F7B3FB" w14:textId="77777777" w:rsidR="00D008BC" w:rsidRDefault="00D008BC" w:rsidP="006D3D98">
      <w:pPr>
        <w:pStyle w:val="Default"/>
        <w:rPr>
          <w:color w:val="auto"/>
          <w:sz w:val="22"/>
          <w:szCs w:val="22"/>
        </w:rPr>
      </w:pPr>
    </w:p>
    <w:p w14:paraId="7CA299FF" w14:textId="607590DF" w:rsidR="006D3D98" w:rsidRDefault="006D3D98" w:rsidP="006D3D98">
      <w:pPr>
        <w:pStyle w:val="Default"/>
        <w:rPr>
          <w:color w:val="auto"/>
          <w:sz w:val="22"/>
          <w:szCs w:val="22"/>
        </w:rPr>
      </w:pPr>
      <w:r>
        <w:rPr>
          <w:color w:val="auto"/>
          <w:sz w:val="22"/>
          <w:szCs w:val="22"/>
        </w:rPr>
        <w:t>Urgent Matters, Automating the Case Management of Frequent ED Users Using SmartControl</w:t>
      </w:r>
      <w:r>
        <w:rPr>
          <w:color w:val="auto"/>
          <w:sz w:val="14"/>
          <w:szCs w:val="14"/>
        </w:rPr>
        <w:t>TM</w:t>
      </w:r>
      <w:r>
        <w:rPr>
          <w:color w:val="auto"/>
          <w:sz w:val="22"/>
          <w:szCs w:val="22"/>
        </w:rPr>
        <w:t xml:space="preserve">, Edward-Elmhurst Health, </w:t>
      </w:r>
      <w:hyperlink r:id="rId101" w:history="1">
        <w:r w:rsidR="007E0475" w:rsidRPr="00541C4A">
          <w:rPr>
            <w:rStyle w:val="Hyperlink"/>
            <w:sz w:val="22"/>
            <w:szCs w:val="22"/>
          </w:rPr>
          <w:t>https://smhs.gwu.edu/urgentmatters/content/automating-case-management-frequent-ed-users-using-smartcontrol%E2%84%A2</w:t>
        </w:r>
      </w:hyperlink>
      <w:r w:rsidR="007E0475">
        <w:rPr>
          <w:color w:val="auto"/>
          <w:sz w:val="22"/>
          <w:szCs w:val="22"/>
        </w:rPr>
        <w:t xml:space="preserve"> </w:t>
      </w:r>
      <w:r>
        <w:rPr>
          <w:color w:val="auto"/>
          <w:sz w:val="22"/>
          <w:szCs w:val="22"/>
        </w:rPr>
        <w:t xml:space="preserve">, 2016. </w:t>
      </w:r>
    </w:p>
    <w:p w14:paraId="7D41C03C" w14:textId="77777777" w:rsidR="00D008BC" w:rsidRDefault="00D008BC" w:rsidP="006D3D98">
      <w:pPr>
        <w:pStyle w:val="Default"/>
        <w:rPr>
          <w:color w:val="auto"/>
          <w:sz w:val="22"/>
          <w:szCs w:val="22"/>
        </w:rPr>
      </w:pPr>
    </w:p>
    <w:p w14:paraId="58928BF3" w14:textId="018C5837" w:rsidR="007E0475" w:rsidRDefault="006D3D98" w:rsidP="006D3D98">
      <w:pPr>
        <w:pStyle w:val="Default"/>
        <w:rPr>
          <w:color w:val="auto"/>
          <w:sz w:val="22"/>
          <w:szCs w:val="22"/>
        </w:rPr>
      </w:pPr>
      <w:r>
        <w:rPr>
          <w:color w:val="auto"/>
          <w:sz w:val="22"/>
          <w:szCs w:val="22"/>
        </w:rPr>
        <w:t xml:space="preserve">Urgent Matters, Safe Transitions: Telemedicine access to EM physicians Following ED Discharge, Emergency Medicine Consultants Ltd. </w:t>
      </w:r>
      <w:hyperlink r:id="rId102" w:history="1">
        <w:r w:rsidR="007E0475" w:rsidRPr="00541C4A">
          <w:rPr>
            <w:rStyle w:val="Hyperlink"/>
            <w:sz w:val="22"/>
            <w:szCs w:val="22"/>
          </w:rPr>
          <w:t>https://smhs.gwu.edu/urgentmatters/sites/urgentmatters/files/Urgent%20Matters%20Application%20Safe%20Transitions.pdf</w:t>
        </w:r>
      </w:hyperlink>
      <w:r w:rsidR="007E0475">
        <w:rPr>
          <w:color w:val="auto"/>
          <w:sz w:val="22"/>
          <w:szCs w:val="22"/>
        </w:rPr>
        <w:t xml:space="preserve"> </w:t>
      </w:r>
      <w:r>
        <w:rPr>
          <w:color w:val="auto"/>
          <w:sz w:val="22"/>
          <w:szCs w:val="22"/>
        </w:rPr>
        <w:t>, 2017.</w:t>
      </w:r>
    </w:p>
    <w:p w14:paraId="04FAB643" w14:textId="19AE8E37" w:rsidR="006D3D98" w:rsidRDefault="006D3D98" w:rsidP="006D3D98">
      <w:pPr>
        <w:pStyle w:val="Default"/>
        <w:rPr>
          <w:color w:val="auto"/>
          <w:sz w:val="22"/>
          <w:szCs w:val="22"/>
        </w:rPr>
      </w:pPr>
      <w:r>
        <w:rPr>
          <w:color w:val="auto"/>
          <w:sz w:val="22"/>
          <w:szCs w:val="22"/>
        </w:rPr>
        <w:t xml:space="preserve"> </w:t>
      </w:r>
    </w:p>
    <w:p w14:paraId="3C089D67" w14:textId="003429E2" w:rsidR="002B2A98" w:rsidRPr="00FF2598" w:rsidRDefault="006D3D98" w:rsidP="006D3D98">
      <w:pPr>
        <w:rPr>
          <w:rFonts w:ascii="Calibri" w:hAnsi="Calibri" w:cs="Calibri"/>
        </w:rPr>
      </w:pPr>
      <w:r>
        <w:t xml:space="preserve">US Department of Veterans Affairs, Organizational Excellence: Care Assessment Needs, </w:t>
      </w:r>
      <w:hyperlink r:id="rId103" w:history="1">
        <w:r w:rsidR="007E0475" w:rsidRPr="00541C4A">
          <w:rPr>
            <w:rStyle w:val="Hyperlink"/>
          </w:rPr>
          <w:t>https://www.va.gov/HEALTHCAREEXCELLENCE/about/organization/examples/care-assessment-needs.asp</w:t>
        </w:r>
      </w:hyperlink>
      <w:r w:rsidR="007E0475">
        <w:t xml:space="preserve"> </w:t>
      </w:r>
      <w:r>
        <w:t>, Updated May 2019.</w:t>
      </w:r>
    </w:p>
    <w:sectPr w:rsidR="002B2A98" w:rsidRPr="00FF25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4F72" w14:textId="77777777" w:rsidR="001802D7" w:rsidRDefault="001802D7" w:rsidP="006F6902">
      <w:r>
        <w:separator/>
      </w:r>
    </w:p>
  </w:endnote>
  <w:endnote w:type="continuationSeparator" w:id="0">
    <w:p w14:paraId="5403CAF8" w14:textId="77777777" w:rsidR="001802D7" w:rsidRDefault="001802D7" w:rsidP="006F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F8E7" w14:textId="77777777" w:rsidR="001802D7" w:rsidRDefault="001802D7" w:rsidP="006F6902">
      <w:r>
        <w:separator/>
      </w:r>
    </w:p>
  </w:footnote>
  <w:footnote w:type="continuationSeparator" w:id="0">
    <w:p w14:paraId="5DB21BAC" w14:textId="77777777" w:rsidR="001802D7" w:rsidRDefault="001802D7" w:rsidP="006F6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A41CEE"/>
    <w:multiLevelType w:val="hybridMultilevel"/>
    <w:tmpl w:val="FF7695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CD5E20"/>
    <w:multiLevelType w:val="hybridMultilevel"/>
    <w:tmpl w:val="F761C7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D18DF2"/>
    <w:multiLevelType w:val="hybridMultilevel"/>
    <w:tmpl w:val="4609548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5B062A2"/>
    <w:multiLevelType w:val="hybridMultilevel"/>
    <w:tmpl w:val="831A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30303"/>
    <w:multiLevelType w:val="hybridMultilevel"/>
    <w:tmpl w:val="96106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86950"/>
    <w:multiLevelType w:val="hybridMultilevel"/>
    <w:tmpl w:val="BD3E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ABDF1"/>
    <w:multiLevelType w:val="hybridMultilevel"/>
    <w:tmpl w:val="C4D144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9303EB"/>
    <w:multiLevelType w:val="hybridMultilevel"/>
    <w:tmpl w:val="EA52000A"/>
    <w:lvl w:ilvl="0" w:tplc="701428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82926"/>
    <w:multiLevelType w:val="hybridMultilevel"/>
    <w:tmpl w:val="2CBB1297"/>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C6548B6"/>
    <w:multiLevelType w:val="hybridMultilevel"/>
    <w:tmpl w:val="3F16C276"/>
    <w:lvl w:ilvl="0" w:tplc="701428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7D35F"/>
    <w:multiLevelType w:val="hybridMultilevel"/>
    <w:tmpl w:val="6CAC3E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3807A6"/>
    <w:multiLevelType w:val="hybridMultilevel"/>
    <w:tmpl w:val="4276F6A2"/>
    <w:lvl w:ilvl="0" w:tplc="701428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E4DF8"/>
    <w:multiLevelType w:val="hybridMultilevel"/>
    <w:tmpl w:val="5CACCBF8"/>
    <w:lvl w:ilvl="0" w:tplc="21E4B0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F160A5"/>
    <w:multiLevelType w:val="hybridMultilevel"/>
    <w:tmpl w:val="C686A302"/>
    <w:lvl w:ilvl="0" w:tplc="701428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150DD"/>
    <w:multiLevelType w:val="hybridMultilevel"/>
    <w:tmpl w:val="9AECC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36F8D"/>
    <w:multiLevelType w:val="hybridMultilevel"/>
    <w:tmpl w:val="6B7E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9A9C0"/>
    <w:multiLevelType w:val="hybridMultilevel"/>
    <w:tmpl w:val="B13BF5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19B4969"/>
    <w:multiLevelType w:val="hybridMultilevel"/>
    <w:tmpl w:val="05865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E419A"/>
    <w:multiLevelType w:val="hybridMultilevel"/>
    <w:tmpl w:val="04C41984"/>
    <w:lvl w:ilvl="0" w:tplc="701428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42558"/>
    <w:multiLevelType w:val="hybridMultilevel"/>
    <w:tmpl w:val="AD1473D8"/>
    <w:lvl w:ilvl="0" w:tplc="701428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2741E"/>
    <w:multiLevelType w:val="hybridMultilevel"/>
    <w:tmpl w:val="F2427F08"/>
    <w:lvl w:ilvl="0" w:tplc="701428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D7EBA"/>
    <w:multiLevelType w:val="hybridMultilevel"/>
    <w:tmpl w:val="DBA4DF0E"/>
    <w:lvl w:ilvl="0" w:tplc="701428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B62B5"/>
    <w:multiLevelType w:val="hybridMultilevel"/>
    <w:tmpl w:val="E8443384"/>
    <w:lvl w:ilvl="0" w:tplc="70142818">
      <w:numFmt w:val="bullet"/>
      <w:lvlText w:val="•"/>
      <w:lvlJc w:val="left"/>
      <w:pPr>
        <w:ind w:left="720" w:hanging="360"/>
      </w:pPr>
      <w:rPr>
        <w:rFonts w:ascii="Calibri" w:eastAsiaTheme="minorHAnsi" w:hAnsi="Calibri" w:cs="Calibri" w:hint="default"/>
      </w:rPr>
    </w:lvl>
    <w:lvl w:ilvl="1" w:tplc="D94CB0C0">
      <w:numFmt w:val="bullet"/>
      <w:lvlText w:val=""/>
      <w:lvlJc w:val="left"/>
      <w:pPr>
        <w:ind w:left="1440" w:hanging="360"/>
      </w:pPr>
      <w:rPr>
        <w:rFonts w:ascii="Symbol" w:eastAsiaTheme="minorHAnsi"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5F8F1"/>
    <w:multiLevelType w:val="hybridMultilevel"/>
    <w:tmpl w:val="E96DCE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B2AE2EE"/>
    <w:multiLevelType w:val="hybridMultilevel"/>
    <w:tmpl w:val="B7F159EA"/>
    <w:lvl w:ilvl="0" w:tplc="FFFFFFFF">
      <w:start w:val="1"/>
      <w:numFmt w:val="ideographDigital"/>
      <w:lvlText w:val=""/>
      <w:lvlJc w:val="left"/>
      <w:pPr>
        <w:ind w:left="0" w:firstLine="0"/>
      </w:pPr>
    </w:lvl>
    <w:lvl w:ilvl="1" w:tplc="FFFFFFFF">
      <w:start w:val="1"/>
      <w:numFmt w:val="lowerLetter"/>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15:restartNumberingAfterBreak="0">
    <w:nsid w:val="7DB14F03"/>
    <w:multiLevelType w:val="hybridMultilevel"/>
    <w:tmpl w:val="EC46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4AF36"/>
    <w:multiLevelType w:val="hybridMultilevel"/>
    <w:tmpl w:val="145FDBB9"/>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25"/>
  </w:num>
  <w:num w:numId="4">
    <w:abstractNumId w:val="22"/>
  </w:num>
  <w:num w:numId="5">
    <w:abstractNumId w:val="12"/>
  </w:num>
  <w:num w:numId="6">
    <w:abstractNumId w:val="0"/>
  </w:num>
  <w:num w:numId="7">
    <w:abstractNumId w:val="18"/>
  </w:num>
  <w:num w:numId="8">
    <w:abstractNumId w:val="23"/>
  </w:num>
  <w:num w:numId="9">
    <w:abstractNumId w:val="7"/>
  </w:num>
  <w:num w:numId="10">
    <w:abstractNumId w:val="1"/>
  </w:num>
  <w:num w:numId="11">
    <w:abstractNumId w:val="10"/>
  </w:num>
  <w:num w:numId="12">
    <w:abstractNumId w:val="21"/>
  </w:num>
  <w:num w:numId="13">
    <w:abstractNumId w:val="11"/>
  </w:num>
  <w:num w:numId="14">
    <w:abstractNumId w:val="20"/>
  </w:num>
  <w:num w:numId="15">
    <w:abstractNumId w:val="6"/>
  </w:num>
  <w:num w:numId="16">
    <w:abstractNumId w:val="19"/>
  </w:num>
  <w:num w:numId="17">
    <w:abstractNumId w:val="8"/>
  </w:num>
  <w:num w:numId="18">
    <w:abstractNumId w:val="3"/>
  </w:num>
  <w:num w:numId="19">
    <w:abstractNumId w:val="4"/>
  </w:num>
  <w:num w:numId="20">
    <w:abstractNumId w:val="15"/>
  </w:num>
  <w:num w:numId="21">
    <w:abstractNumId w:val="17"/>
  </w:num>
  <w:num w:numId="22">
    <w:abstractNumId w:val="26"/>
  </w:num>
  <w:num w:numId="23">
    <w:abstractNumId w:val="5"/>
  </w:num>
  <w:num w:numId="24">
    <w:abstractNumId w:val="14"/>
  </w:num>
  <w:num w:numId="25">
    <w:abstractNumId w:val="13"/>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02"/>
    <w:rsid w:val="00047DD9"/>
    <w:rsid w:val="000879EB"/>
    <w:rsid w:val="000E06F7"/>
    <w:rsid w:val="001408C6"/>
    <w:rsid w:val="001802D7"/>
    <w:rsid w:val="001F6C84"/>
    <w:rsid w:val="00264188"/>
    <w:rsid w:val="002B2A98"/>
    <w:rsid w:val="002E76B9"/>
    <w:rsid w:val="003068B9"/>
    <w:rsid w:val="00357B65"/>
    <w:rsid w:val="00386EAC"/>
    <w:rsid w:val="004E79FA"/>
    <w:rsid w:val="004F592A"/>
    <w:rsid w:val="00640D8C"/>
    <w:rsid w:val="006D3D98"/>
    <w:rsid w:val="006F6902"/>
    <w:rsid w:val="007E0475"/>
    <w:rsid w:val="008029CF"/>
    <w:rsid w:val="00864CDD"/>
    <w:rsid w:val="00872078"/>
    <w:rsid w:val="008D31EA"/>
    <w:rsid w:val="00946729"/>
    <w:rsid w:val="0095269F"/>
    <w:rsid w:val="00964D05"/>
    <w:rsid w:val="00A01330"/>
    <w:rsid w:val="00A677C4"/>
    <w:rsid w:val="00AE2569"/>
    <w:rsid w:val="00B22AB8"/>
    <w:rsid w:val="00BD1356"/>
    <w:rsid w:val="00C10D2E"/>
    <w:rsid w:val="00C532AD"/>
    <w:rsid w:val="00D008BC"/>
    <w:rsid w:val="00D7535F"/>
    <w:rsid w:val="00D75ED9"/>
    <w:rsid w:val="00D92F70"/>
    <w:rsid w:val="00E2134B"/>
    <w:rsid w:val="00E24B0D"/>
    <w:rsid w:val="00E400C1"/>
    <w:rsid w:val="00EC0A7A"/>
    <w:rsid w:val="00FE2E83"/>
    <w:rsid w:val="00FF2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95788"/>
  <w15:chartTrackingRefBased/>
  <w15:docId w15:val="{8719CC57-B843-4EB7-8F80-F04DCBF3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02"/>
    <w:rPr>
      <w:color w:val="0563C1" w:themeColor="hyperlink"/>
      <w:u w:val="single"/>
    </w:rPr>
  </w:style>
  <w:style w:type="paragraph" w:customStyle="1" w:styleId="Default">
    <w:name w:val="Default"/>
    <w:rsid w:val="006F690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F6902"/>
    <w:rPr>
      <w:color w:val="605E5C"/>
      <w:shd w:val="clear" w:color="auto" w:fill="E1DFDD"/>
    </w:rPr>
  </w:style>
  <w:style w:type="paragraph" w:styleId="ListParagraph">
    <w:name w:val="List Paragraph"/>
    <w:basedOn w:val="Normal"/>
    <w:uiPriority w:val="34"/>
    <w:qFormat/>
    <w:rsid w:val="006F6902"/>
    <w:pPr>
      <w:ind w:left="720"/>
      <w:contextualSpacing/>
    </w:pPr>
  </w:style>
  <w:style w:type="paragraph" w:styleId="Header">
    <w:name w:val="header"/>
    <w:basedOn w:val="Normal"/>
    <w:link w:val="HeaderChar"/>
    <w:uiPriority w:val="99"/>
    <w:unhideWhenUsed/>
    <w:rsid w:val="006F6902"/>
    <w:pPr>
      <w:tabs>
        <w:tab w:val="center" w:pos="4680"/>
        <w:tab w:val="right" w:pos="9360"/>
      </w:tabs>
    </w:pPr>
  </w:style>
  <w:style w:type="character" w:customStyle="1" w:styleId="HeaderChar">
    <w:name w:val="Header Char"/>
    <w:basedOn w:val="DefaultParagraphFont"/>
    <w:link w:val="Header"/>
    <w:uiPriority w:val="99"/>
    <w:rsid w:val="006F6902"/>
  </w:style>
  <w:style w:type="paragraph" w:styleId="Footer">
    <w:name w:val="footer"/>
    <w:basedOn w:val="Normal"/>
    <w:link w:val="FooterChar"/>
    <w:uiPriority w:val="99"/>
    <w:unhideWhenUsed/>
    <w:rsid w:val="006F6902"/>
    <w:pPr>
      <w:tabs>
        <w:tab w:val="center" w:pos="4680"/>
        <w:tab w:val="right" w:pos="9360"/>
      </w:tabs>
    </w:pPr>
  </w:style>
  <w:style w:type="character" w:customStyle="1" w:styleId="FooterChar">
    <w:name w:val="Footer Char"/>
    <w:basedOn w:val="DefaultParagraphFont"/>
    <w:link w:val="Footer"/>
    <w:uiPriority w:val="99"/>
    <w:rsid w:val="006F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2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sps-ma.org/" TargetMode="External"/><Relationship Id="rId21" Type="http://schemas.openxmlformats.org/officeDocument/2006/relationships/image" Target="media/image6.png"/><Relationship Id="rId42" Type="http://schemas.openxmlformats.org/officeDocument/2006/relationships/hyperlink" Target="https://www.ahrq.gov/downloads/pub/ahrqqi/pqiguide.pdf" TargetMode="External"/><Relationship Id="rId47" Type="http://schemas.openxmlformats.org/officeDocument/2006/relationships/hyperlink" Target="https://www.ahrq.gov/patient-safety/settings/long-term-care/resource/ontime/overview.html" TargetMode="External"/><Relationship Id="rId63" Type="http://schemas.openxmlformats.org/officeDocument/2006/relationships/hyperlink" Target="https://www.ahrq.gov/patient-safety/settings/hospital/resource/guide/index.html" TargetMode="External"/><Relationship Id="rId68" Type="http://schemas.openxmlformats.org/officeDocument/2006/relationships/hyperlink" Target="http://ojin.nursingworld.org/MainMenuCategories/ANAMarketplace/ANAPeriodicals/OJIN/TableofContents/Vol-20-2015/No3-Sept-2015/Continuity-of-Care-Transitional-Care-Model.html" TargetMode="External"/><Relationship Id="rId84" Type="http://schemas.openxmlformats.org/officeDocument/2006/relationships/hyperlink" Target="https://www.commonwealthfund.org/publications/fund-reports/2009/jul/emergency-department-operations-top-performing-safety-net" TargetMode="External"/><Relationship Id="rId89" Type="http://schemas.openxmlformats.org/officeDocument/2006/relationships/hyperlink" Target="https://www.rwjf.org/en/library/research/2009/07/emergency-department-utilization-and-capacity0.html" TargetMode="External"/><Relationship Id="rId16" Type="http://schemas.openxmlformats.org/officeDocument/2006/relationships/hyperlink" Target="http://www.ihi.org/Engage/Initiatives/Completed/TCAB/Pages/default.aspx" TargetMode="External"/><Relationship Id="rId11" Type="http://schemas.openxmlformats.org/officeDocument/2006/relationships/hyperlink" Target="http://www.ama-assn.org/resources/doc/patient-safety/ambulatory-practices.pdf" TargetMode="External"/><Relationship Id="rId32" Type="http://schemas.openxmlformats.org/officeDocument/2006/relationships/hyperlink" Target="https://www.aama-ntl.org/docs/default-source/default-document-library/cmatoday-ma-2018-pa.pdf?sfvrsn=2" TargetMode="External"/><Relationship Id="rId37" Type="http://schemas.openxmlformats.org/officeDocument/2006/relationships/hyperlink" Target="https://www.ahrq.gov/evidencenow/tools/keydrivers/create-care-teams.html" TargetMode="External"/><Relationship Id="rId53" Type="http://schemas.openxmlformats.org/officeDocument/2006/relationships/hyperlink" Target="https://www.healthaffairs.org/doi/full/10.1377/hlthaff.2012.0393" TargetMode="External"/><Relationship Id="rId58" Type="http://schemas.openxmlformats.org/officeDocument/2006/relationships/hyperlink" Target="https://caretransitions.org/wp-content/uploads/2015/08/CTM-15-SCORING.pdf" TargetMode="External"/><Relationship Id="rId74" Type="http://schemas.openxmlformats.org/officeDocument/2006/relationships/hyperlink" Target="https://www.mass.gov/doc/achieving-the-triple-aim-success-with-community-health-workers-0/download" TargetMode="External"/><Relationship Id="rId79" Type="http://schemas.openxmlformats.org/officeDocument/2006/relationships/hyperlink" Target="https://doi.org/10.1093/heapol/czj009" TargetMode="External"/><Relationship Id="rId102" Type="http://schemas.openxmlformats.org/officeDocument/2006/relationships/hyperlink" Target="https://smhs.gwu.edu/urgentmatters/sites/urgentmatters/files/Urgent%20Matters%20Application%20Safe%20Transitions.pdf" TargetMode="External"/><Relationship Id="rId5" Type="http://schemas.openxmlformats.org/officeDocument/2006/relationships/footnotes" Target="footnotes.xml"/><Relationship Id="rId90" Type="http://schemas.openxmlformats.org/officeDocument/2006/relationships/hyperlink" Target="https://www.rwjf.org/en/library/research/2012/12/transforming-care-at-the-bedside--phase-2-.html" TargetMode="External"/><Relationship Id="rId95" Type="http://schemas.openxmlformats.org/officeDocument/2006/relationships/hyperlink" Target="https://www.healthcareitnews.com/news/why-more-tech-vendors-are-targeting-acos-analytics-care-management-tools" TargetMode="External"/><Relationship Id="rId22" Type="http://schemas.openxmlformats.org/officeDocument/2006/relationships/image" Target="media/image7.emf"/><Relationship Id="rId27" Type="http://schemas.openxmlformats.org/officeDocument/2006/relationships/hyperlink" Target="https://careersofsubstance.org/your-career/career-paths/peer-recovery%20coach" TargetMode="External"/><Relationship Id="rId43" Type="http://schemas.openxmlformats.org/officeDocument/2006/relationships/hyperlink" Target="https://www.ahrq.gov/patient-safety/settings/emergency-dept/discharge-process.html" TargetMode="External"/><Relationship Id="rId48" Type="http://schemas.openxmlformats.org/officeDocument/2006/relationships/hyperlink" Target="https://www.ahrq.gov/teamstepps/rrs/index.html" TargetMode="External"/><Relationship Id="rId64" Type="http://schemas.openxmlformats.org/officeDocument/2006/relationships/hyperlink" Target="https://ehrintelligence.com/news/what-it-means-to-go-beyond-adt-notification-requirement-part-ii" TargetMode="External"/><Relationship Id="rId69" Type="http://schemas.openxmlformats.org/officeDocument/2006/relationships/hyperlink" Target="http://www.hret-hiin.org/" TargetMode="External"/><Relationship Id="rId80" Type="http://schemas.openxmlformats.org/officeDocument/2006/relationships/hyperlink" Target="https://pubmed.ncbi.nlm.nih.gov/12615588/" TargetMode="External"/><Relationship Id="rId85" Type="http://schemas.openxmlformats.org/officeDocument/2006/relationships/hyperlink" Target="https://www.nyspfp.org/Members/Initiatives/Readmissions/Tools.aspx" TargetMode="External"/><Relationship Id="rId12" Type="http://schemas.openxmlformats.org/officeDocument/2006/relationships/hyperlink" Target="https://chrt.sites.uofmhosting.net/wp-content/uploads/2014/01/CHRT-Care-Transitions-Best-Practices-and-Evidence-based-Programs-.pdf?_ga=2.86292828.571379536.1619120971-999331931.1619120971" TargetMode="External"/><Relationship Id="rId17" Type="http://schemas.openxmlformats.org/officeDocument/2006/relationships/hyperlink" Target="https://caretransitions.org/about-the-care-transitions-intervention/" TargetMode="External"/><Relationship Id="rId33" Type="http://schemas.openxmlformats.org/officeDocument/2006/relationships/hyperlink" Target="https://www.advisory.com/-/media/project/advisoryboard/advisory/topics/throughput-and-length-of-stay/toolkit/how-to-direct-patients-to-the-most-appropriate-site-of-care/Reducing-Avoidable-Emergency-Department-Use.pdf" TargetMode="External"/><Relationship Id="rId38" Type="http://schemas.openxmlformats.org/officeDocument/2006/relationships/hyperlink" Target="https://www.ahrq.gov/sites/default/files/wysiwyg/professionals/quality-patient-safety/pfp/hacreport-2019.pdf" TargetMode="External"/><Relationship Id="rId59" Type="http://schemas.openxmlformats.org/officeDocument/2006/relationships/hyperlink" Target="https://www.cdc.gov/dhdsp/programs/spha/docs/1305_ta_guide_chws.pdf" TargetMode="External"/><Relationship Id="rId103" Type="http://schemas.openxmlformats.org/officeDocument/2006/relationships/hyperlink" Target="https://www.va.gov/HEALTHCAREEXCELLENCE/about/organization/examples/care-assessment-needs.asp" TargetMode="External"/><Relationship Id="rId20" Type="http://schemas.openxmlformats.org/officeDocument/2006/relationships/image" Target="media/image5.png"/><Relationship Id="rId41" Type="http://schemas.openxmlformats.org/officeDocument/2006/relationships/hyperlink" Target="https://www.ahrq.gov/patient-safety/resources/match/index.html" TargetMode="External"/><Relationship Id="rId54" Type="http://schemas.openxmlformats.org/officeDocument/2006/relationships/hyperlink" Target="https://caretransitions.org/wp-content/uploads/2019/09/Family-Caregiver-Activation-in-Transitions-FCAT-tool.pdf" TargetMode="External"/><Relationship Id="rId62" Type="http://schemas.openxmlformats.org/officeDocument/2006/relationships/hyperlink" Target="https://collectivemedical.com/" TargetMode="External"/><Relationship Id="rId70" Type="http://schemas.openxmlformats.org/officeDocument/2006/relationships/hyperlink" Target="http://www.hret-hiin.org/" TargetMode="External"/><Relationship Id="rId75" Type="http://schemas.openxmlformats.org/officeDocument/2006/relationships/hyperlink" Target="https://www.mass.gov/nursing-practice" TargetMode="External"/><Relationship Id="rId83" Type="http://schemas.openxmlformats.org/officeDocument/2006/relationships/hyperlink" Target="https://pubmed.ncbi.nlm.nih.gov/30055423/" TargetMode="External"/><Relationship Id="rId88" Type="http://schemas.openxmlformats.org/officeDocument/2006/relationships/hyperlink" Target="https://www.bu.edu/fammed/projectred/toolkit.html" TargetMode="External"/><Relationship Id="rId91" Type="http://schemas.openxmlformats.org/officeDocument/2006/relationships/hyperlink" Target="https://pubmed.ncbi.nlm.nih.gov/20606185/" TargetMode="External"/><Relationship Id="rId96" Type="http://schemas.openxmlformats.org/officeDocument/2006/relationships/hyperlink" Target="https://www.healthdatamanagement.com/news/pcps-often-lack-access-to-admit-discharge-and-transfer-data%20.%20April%20201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ursing.upenn.edu/ncth/transitional-care-model/" TargetMode="External"/><Relationship Id="rId23" Type="http://schemas.openxmlformats.org/officeDocument/2006/relationships/image" Target="media/image8.png"/><Relationship Id="rId28" Type="http://schemas.openxmlformats.org/officeDocument/2006/relationships/hyperlink" Target="https://www.mass.gov/doc/peer-support-worker-comparison-chart/download" TargetMode="External"/><Relationship Id="rId36" Type="http://schemas.openxmlformats.org/officeDocument/2006/relationships/hyperlink" Target="https://www.ahrq.gov/patient-safety/settings/emergency-dept/esi.html" TargetMode="External"/><Relationship Id="rId49" Type="http://schemas.openxmlformats.org/officeDocument/2006/relationships/hyperlink" Target="https://cvquality.acc.org/initiatives/hospital-to-home" TargetMode="External"/><Relationship Id="rId57" Type="http://schemas.openxmlformats.org/officeDocument/2006/relationships/hyperlink" Target="https://caretransitions.org/wp-content/uploads/2019/09/CTM-15.pdf" TargetMode="External"/><Relationship Id="rId10" Type="http://schemas.openxmlformats.org/officeDocument/2006/relationships/hyperlink" Target="http://www.ihi.org/resources/Pages/Tools/Ask-Me-3-Good-Questions-for-Your-Good-Health.aspx" TargetMode="External"/><Relationship Id="rId31" Type="http://schemas.openxmlformats.org/officeDocument/2006/relationships/hyperlink" Target="https://www.netce.com/ce-requirements/certified-case-manager/ma/" TargetMode="External"/><Relationship Id="rId44" Type="http://schemas.openxmlformats.org/officeDocument/2006/relationships/hyperlink" Target="https://www.ahrq.gov/patient-safety/settings/emergency-dept/esi.html" TargetMode="External"/><Relationship Id="rId52" Type="http://schemas.openxmlformats.org/officeDocument/2006/relationships/hyperlink" Target="https://www.commonwealthfund.org/sites/default/files/documents/___media_files_publications_issue_brief_2000_mar_emergency_department_use_in_new_york_city__a_substitute_for_primary_care_billings_eduse_433_pdf.pdf" TargetMode="External"/><Relationship Id="rId60" Type="http://schemas.openxmlformats.org/officeDocument/2006/relationships/hyperlink" Target="https://www.medicaid.gov/medicaid/quality-of-care/quality-improvement-initiatives/improving-care-transitions/index.html" TargetMode="External"/><Relationship Id="rId65" Type="http://schemas.openxmlformats.org/officeDocument/2006/relationships/hyperlink" Target="https://www.ena.org/education/esi" TargetMode="External"/><Relationship Id="rId73" Type="http://schemas.openxmlformats.org/officeDocument/2006/relationships/hyperlink" Target="https://innovation.cms.gov/data-and-reports/2020/nextgenaco-thirdevalrpt-fullreport" TargetMode="External"/><Relationship Id="rId78" Type="http://schemas.openxmlformats.org/officeDocument/2006/relationships/hyperlink" Target="https://blogs.stthomas.edu/hphc/2013/02/04/optums-strategy-for-aco-development/" TargetMode="External"/><Relationship Id="rId81" Type="http://schemas.openxmlformats.org/officeDocument/2006/relationships/hyperlink" Target="https://www.ajmc.com/view/risk-stratification-for-return-emergency-department-visits-among-high-risk-patients" TargetMode="External"/><Relationship Id="rId86" Type="http://schemas.openxmlformats.org/officeDocument/2006/relationships/hyperlink" Target="https://www.healthit.gov/sites/default/files/onc-beacon-lg1-adt-alerts-for-toc-and-care-coord.pdf" TargetMode="External"/><Relationship Id="rId94" Type="http://schemas.openxmlformats.org/officeDocument/2006/relationships/hyperlink" Target="http://www.IHI.org" TargetMode="External"/><Relationship Id="rId99" Type="http://schemas.openxmlformats.org/officeDocument/2006/relationships/hyperlink" Target="https://www.nationalcomplex.care/wp-content/uploads/2020/10/Core-competencies-for-frontline-complex-care-providers-Full-Report-web-final.pdf%20Dated%2010/27/2019" TargetMode="External"/><Relationship Id="rId101" Type="http://schemas.openxmlformats.org/officeDocument/2006/relationships/hyperlink" Target="https://smhs.gwu.edu/urgentmatters/content/automating-case-management-frequent-ed-users-using-smartcontrol%E2%84%A2" TargetMode="Externa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hyperlink" Target="https://www.nyspfp.org/" TargetMode="External"/><Relationship Id="rId18" Type="http://schemas.openxmlformats.org/officeDocument/2006/relationships/hyperlink" Target="https://www.bu.edu/fammed/projectred/toolkit.html" TargetMode="External"/><Relationship Id="rId39" Type="http://schemas.openxmlformats.org/officeDocument/2006/relationships/hyperlink" Target="https://psnet.ahrq.gov/issue/toolkit-engage-high-risk-patients-safe-transitions-across-ambulatory-settings" TargetMode="External"/><Relationship Id="rId34" Type="http://schemas.openxmlformats.org/officeDocument/2006/relationships/hyperlink" Target="https://www.aha.org/data-insights/resource-center" TargetMode="External"/><Relationship Id="rId50" Type="http://schemas.openxmlformats.org/officeDocument/2006/relationships/hyperlink" Target="http://www.ama-assn.org/resources/doc/patient-safety/ambulatory-practices.pdf" TargetMode="External"/><Relationship Id="rId55" Type="http://schemas.openxmlformats.org/officeDocument/2006/relationships/hyperlink" Target="https://caretransitions.org/wp-content/uploads/2019/09/CTM-3.pdf" TargetMode="External"/><Relationship Id="rId76" Type="http://schemas.openxmlformats.org/officeDocument/2006/relationships/hyperlink" Target="https://www.mass.gov/service-details/learn-about-the-nursing-scope-of-practice" TargetMode="External"/><Relationship Id="rId97" Type="http://schemas.openxmlformats.org/officeDocument/2006/relationships/hyperlink" Target="http://171.65.104.14/content/dam/sm/cerc/documents/about/CoordinatedCare/SCC%20Change%20Package%202019-0107.pdf" TargetMode="External"/><Relationship Id="rId10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ihi.org/Engage/Initiatives/Completed/TCAB/Pages/default.aspx" TargetMode="External"/><Relationship Id="rId92" Type="http://schemas.openxmlformats.org/officeDocument/2006/relationships/hyperlink" Target="https://nachw.org/wp-content/uploads/2020/10/SustainableFinancingReportOctober2020.pdf" TargetMode="External"/><Relationship Id="rId2" Type="http://schemas.openxmlformats.org/officeDocument/2006/relationships/styles" Target="styles.xml"/><Relationship Id="rId29" Type="http://schemas.openxmlformats.org/officeDocument/2006/relationships/hyperlink" Target="https://www.mass.gov/social-worker-licensing" TargetMode="External"/><Relationship Id="rId24" Type="http://schemas.openxmlformats.org/officeDocument/2006/relationships/image" Target="media/image9.png"/><Relationship Id="rId40" Type="http://schemas.openxmlformats.org/officeDocument/2006/relationships/hyperlink" Target="https://www.ahrq.gov/sites/default/files/wysiwyg/professionals/systems/hospital/engagingfamilies/strategy4/Strat4_Implement_Hndbook_508_v2.pdf" TargetMode="External"/><Relationship Id="rId45" Type="http://schemas.openxmlformats.org/officeDocument/2006/relationships/hyperlink" Target="https://www.ahrq.gov/sites/default/files/publications/files/redtoolkit.pdf" TargetMode="External"/><Relationship Id="rId66" Type="http://schemas.openxmlformats.org/officeDocument/2006/relationships/hyperlink" Target="https://www.healthaffairs.org/doi/10.1377/hlthaff.2019.00003" TargetMode="External"/><Relationship Id="rId87" Type="http://schemas.openxmlformats.org/officeDocument/2006/relationships/hyperlink" Target="https://pubmed.ncbi.nlm.nih.gov/32404090/" TargetMode="External"/><Relationship Id="rId61" Type="http://schemas.openxmlformats.org/officeDocument/2006/relationships/hyperlink" Target="https://collectivemedical.com/" TargetMode="External"/><Relationship Id="rId82" Type="http://schemas.openxmlformats.org/officeDocument/2006/relationships/hyperlink" Target="https://www.fiercehealthcare.com/hospitals/community-health-worker-support-reduces-30-day-readmission-among-high-risk-aco-patients" TargetMode="External"/><Relationship Id="rId19" Type="http://schemas.openxmlformats.org/officeDocument/2006/relationships/image" Target="media/image4.png"/><Relationship Id="rId14" Type="http://schemas.openxmlformats.org/officeDocument/2006/relationships/hyperlink" Target="https://www.hospitalmedicine.org/globalassets/professional-development/professional-dev-pdf/boost-guide-second-edition.pdf" TargetMode="External"/><Relationship Id="rId30" Type="http://schemas.openxmlformats.org/officeDocument/2006/relationships/hyperlink" Target="https://www.mass.gov/community-health-worker-certification" TargetMode="External"/><Relationship Id="rId35" Type="http://schemas.openxmlformats.org/officeDocument/2006/relationships/hyperlink" Target="https://www.hcup-us.ahrq.gov/reports/statbriefs/sb257-ED-Costs-Mental-Substance-Use-Disorders-2017.jsp" TargetMode="External"/><Relationship Id="rId56" Type="http://schemas.openxmlformats.org/officeDocument/2006/relationships/hyperlink" Target="https://caretransitions.org/wp-content/uploads/2015/08/CTM-3-SCORING.pdf" TargetMode="External"/><Relationship Id="rId77" Type="http://schemas.openxmlformats.org/officeDocument/2006/relationships/hyperlink" Target="https://www.mass.gov/lists/recovery-coach-commission-report" TargetMode="External"/><Relationship Id="rId100" Type="http://schemas.openxmlformats.org/officeDocument/2006/relationships/hyperlink" Target="https://www.nursing.upenn.edu/ncth/transitional-care-model/" TargetMode="External"/><Relationship Id="rId105"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aama-ntl.org/docs/default-source/default-document-library/cmatoday-ma-2018-pa.pdf?sfvrsn=2" TargetMode="External"/><Relationship Id="rId72" Type="http://schemas.openxmlformats.org/officeDocument/2006/relationships/hyperlink" Target="https://pubmed.ncbi.nlm.nih.gov/19106726/" TargetMode="External"/><Relationship Id="rId93" Type="http://schemas.openxmlformats.org/officeDocument/2006/relationships/hyperlink" Target="http://www.IHI.org" TargetMode="External"/><Relationship Id="rId98" Type="http://schemas.openxmlformats.org/officeDocument/2006/relationships/hyperlink" Target="https://www.texmed.org/Template.aspx?id=33757" TargetMode="External"/><Relationship Id="rId3" Type="http://schemas.openxmlformats.org/officeDocument/2006/relationships/settings" Target="settings.xml"/><Relationship Id="rId25" Type="http://schemas.openxmlformats.org/officeDocument/2006/relationships/hyperlink" Target="https://www.ahrq.gov/sites/default/files/wysiwyg/professionals/systems/hospital/edenvironmentalscan/edenvironmentalscan.pdf" TargetMode="External"/><Relationship Id="rId46" Type="http://schemas.openxmlformats.org/officeDocument/2006/relationships/hyperlink" Target="https://www.ahrq.gov/patient-safety/settings/long-term-care/resource/ontime/prevhosp/index.html" TargetMode="External"/><Relationship Id="rId67" Type="http://schemas.openxmlformats.org/officeDocument/2006/relationships/hyperlink" Target="https://smhs.gwu.edu/urgent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6979</Words>
  <Characters>39785</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Kim</dc:creator>
  <cp:keywords/>
  <dc:description/>
  <cp:lastModifiedBy>Elyse Yarmosky</cp:lastModifiedBy>
  <cp:revision>2</cp:revision>
  <dcterms:created xsi:type="dcterms:W3CDTF">2021-08-31T14:30:00Z</dcterms:created>
  <dcterms:modified xsi:type="dcterms:W3CDTF">2021-08-31T14:30:00Z</dcterms:modified>
</cp:coreProperties>
</file>